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953FE" w14:textId="104C287B" w:rsidR="00820BC5" w:rsidRDefault="00820BC5" w:rsidP="00820BC5">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8A4D13">
        <w:rPr>
          <w:rFonts w:cs="Arial"/>
          <w:b/>
          <w:sz w:val="24"/>
          <w:szCs w:val="24"/>
        </w:rPr>
        <w:t>100</w:t>
      </w:r>
      <w:r w:rsidR="00A511AC">
        <w:rPr>
          <w:rFonts w:cs="Arial"/>
          <w:b/>
          <w:sz w:val="24"/>
          <w:szCs w:val="24"/>
        </w:rPr>
        <w:t>-e</w:t>
      </w:r>
      <w:r>
        <w:rPr>
          <w:rFonts w:cs="Arial"/>
          <w:b/>
          <w:sz w:val="24"/>
          <w:szCs w:val="24"/>
        </w:rPr>
        <w:tab/>
      </w:r>
      <w:r w:rsidR="005E3F71" w:rsidRPr="005E3F71">
        <w:rPr>
          <w:rFonts w:cs="Arial"/>
          <w:b/>
          <w:sz w:val="24"/>
          <w:szCs w:val="24"/>
        </w:rPr>
        <w:t>R4-2113620</w:t>
      </w:r>
    </w:p>
    <w:bookmarkEnd w:id="0"/>
    <w:p w14:paraId="2B280760" w14:textId="0E7DD272" w:rsidR="00820BC5" w:rsidRPr="0087636F" w:rsidRDefault="00FD277F" w:rsidP="00820BC5">
      <w:pPr>
        <w:pStyle w:val="CRCoverPage"/>
        <w:tabs>
          <w:tab w:val="right" w:pos="9639"/>
        </w:tabs>
        <w:spacing w:after="0"/>
        <w:rPr>
          <w:rFonts w:cs="Arial"/>
          <w:b/>
          <w:sz w:val="24"/>
          <w:szCs w:val="24"/>
        </w:rPr>
      </w:pPr>
      <w:r w:rsidRPr="00FD277F">
        <w:rPr>
          <w:rFonts w:cs="Arial"/>
          <w:b/>
          <w:sz w:val="24"/>
          <w:szCs w:val="24"/>
        </w:rPr>
        <w:t xml:space="preserve">Electronic Meeting, </w:t>
      </w:r>
      <w:r w:rsidR="0033426E">
        <w:rPr>
          <w:rFonts w:cs="Arial"/>
          <w:b/>
          <w:sz w:val="24"/>
          <w:szCs w:val="24"/>
        </w:rPr>
        <w:t>16</w:t>
      </w:r>
      <w:r w:rsidR="00FA28AC" w:rsidRPr="008C6A07">
        <w:rPr>
          <w:rFonts w:cs="Arial"/>
          <w:b/>
          <w:sz w:val="24"/>
          <w:szCs w:val="24"/>
          <w:vertAlign w:val="superscript"/>
        </w:rPr>
        <w:t>th</w:t>
      </w:r>
      <w:r w:rsidR="008C6A07">
        <w:rPr>
          <w:rFonts w:cs="Arial"/>
          <w:b/>
          <w:sz w:val="24"/>
          <w:szCs w:val="24"/>
        </w:rPr>
        <w:t xml:space="preserve"> </w:t>
      </w:r>
      <w:r w:rsidRPr="00FD277F">
        <w:rPr>
          <w:rFonts w:cs="Arial"/>
          <w:b/>
          <w:sz w:val="24"/>
          <w:szCs w:val="24"/>
        </w:rPr>
        <w:t xml:space="preserve">– </w:t>
      </w:r>
      <w:r w:rsidR="0033426E">
        <w:rPr>
          <w:rFonts w:cs="Arial"/>
          <w:b/>
          <w:sz w:val="24"/>
          <w:szCs w:val="24"/>
        </w:rPr>
        <w:t>27</w:t>
      </w:r>
      <w:r w:rsidR="00FA28AC" w:rsidRPr="00D11ECD">
        <w:rPr>
          <w:rFonts w:cs="Arial"/>
          <w:b/>
          <w:sz w:val="24"/>
          <w:szCs w:val="24"/>
          <w:vertAlign w:val="superscript"/>
        </w:rPr>
        <w:t>th</w:t>
      </w:r>
      <w:r>
        <w:rPr>
          <w:rFonts w:cs="Arial"/>
          <w:b/>
          <w:sz w:val="24"/>
          <w:szCs w:val="24"/>
        </w:rPr>
        <w:t xml:space="preserve"> </w:t>
      </w:r>
      <w:r w:rsidR="008A4D13">
        <w:rPr>
          <w:rFonts w:cs="Arial"/>
          <w:b/>
          <w:sz w:val="24"/>
          <w:szCs w:val="24"/>
        </w:rPr>
        <w:t>Aug</w:t>
      </w:r>
      <w:r w:rsidR="008C6A07">
        <w:rPr>
          <w:rFonts w:cs="Arial"/>
          <w:b/>
          <w:sz w:val="24"/>
          <w:szCs w:val="24"/>
        </w:rPr>
        <w:t xml:space="preserve"> </w:t>
      </w:r>
      <w:r w:rsidRPr="00FD277F">
        <w:rPr>
          <w:rFonts w:cs="Arial"/>
          <w:b/>
          <w:sz w:val="24"/>
          <w:szCs w:val="24"/>
        </w:rPr>
        <w:t>202</w:t>
      </w:r>
      <w:r>
        <w:rPr>
          <w:rFonts w:cs="Arial"/>
          <w:b/>
          <w:sz w:val="24"/>
          <w:szCs w:val="24"/>
        </w:rPr>
        <w:t>1</w:t>
      </w:r>
    </w:p>
    <w:p w14:paraId="39AFA805" w14:textId="77777777" w:rsidR="0043450E" w:rsidRPr="00426A90" w:rsidRDefault="0043450E" w:rsidP="0043450E">
      <w:pPr>
        <w:overflowPunct/>
        <w:autoSpaceDE/>
        <w:autoSpaceDN/>
        <w:adjustRightInd/>
        <w:textAlignment w:val="auto"/>
        <w:rPr>
          <w:rFonts w:ascii="Arial" w:hAnsi="Arial"/>
          <w:b/>
          <w:noProof/>
          <w:sz w:val="24"/>
        </w:rPr>
      </w:pPr>
    </w:p>
    <w:p w14:paraId="22CD9FDC" w14:textId="77777777" w:rsidR="0043450E" w:rsidRPr="00294B92" w:rsidRDefault="0043450E" w:rsidP="0043450E">
      <w:pPr>
        <w:tabs>
          <w:tab w:val="left" w:pos="1985"/>
        </w:tabs>
        <w:jc w:val="both"/>
        <w:rPr>
          <w:b/>
          <w:sz w:val="22"/>
        </w:rPr>
      </w:pPr>
      <w:r w:rsidRPr="00294B92">
        <w:rPr>
          <w:b/>
          <w:sz w:val="22"/>
        </w:rPr>
        <w:t xml:space="preserve">Source: </w:t>
      </w:r>
      <w:r w:rsidRPr="00294B92">
        <w:rPr>
          <w:b/>
          <w:sz w:val="22"/>
        </w:rPr>
        <w:tab/>
      </w:r>
      <w:r w:rsidRPr="002C1CBC">
        <w:rPr>
          <w:b/>
          <w:sz w:val="22"/>
        </w:rPr>
        <w:t>Nok</w:t>
      </w:r>
      <w:r w:rsidR="00BC764C" w:rsidRPr="002C1CBC">
        <w:rPr>
          <w:b/>
          <w:sz w:val="22"/>
        </w:rPr>
        <w:t>ia</w:t>
      </w:r>
      <w:r w:rsidR="00454E53" w:rsidRPr="002C1CBC">
        <w:rPr>
          <w:b/>
          <w:sz w:val="22"/>
        </w:rPr>
        <w:t>, Nokia Shanghai Bell</w:t>
      </w:r>
    </w:p>
    <w:p w14:paraId="457A7ECF" w14:textId="15F53EF9" w:rsidR="0043450E" w:rsidRPr="002C1CBC" w:rsidRDefault="0043450E" w:rsidP="0043450E">
      <w:pPr>
        <w:rPr>
          <w:b/>
          <w:sz w:val="22"/>
        </w:rPr>
      </w:pPr>
      <w:r w:rsidRPr="00874FEE">
        <w:rPr>
          <w:b/>
          <w:sz w:val="22"/>
        </w:rPr>
        <w:t>Title:</w:t>
      </w:r>
      <w:r w:rsidRPr="002C1CBC">
        <w:rPr>
          <w:b/>
          <w:sz w:val="22"/>
        </w:rPr>
        <w:t xml:space="preserve"> </w:t>
      </w:r>
      <w:r w:rsidRPr="002C1CBC">
        <w:rPr>
          <w:b/>
          <w:sz w:val="22"/>
        </w:rPr>
        <w:tab/>
      </w:r>
      <w:r w:rsidRPr="002C1CBC">
        <w:rPr>
          <w:b/>
          <w:sz w:val="22"/>
        </w:rPr>
        <w:tab/>
      </w:r>
      <w:r w:rsidRPr="002C1CBC">
        <w:rPr>
          <w:b/>
          <w:sz w:val="22"/>
        </w:rPr>
        <w:tab/>
      </w:r>
      <w:r w:rsidRPr="002C1CBC">
        <w:rPr>
          <w:b/>
          <w:sz w:val="22"/>
        </w:rPr>
        <w:tab/>
      </w:r>
      <w:r w:rsidRPr="002C1CBC">
        <w:rPr>
          <w:b/>
          <w:sz w:val="22"/>
        </w:rPr>
        <w:tab/>
      </w:r>
      <w:bookmarkStart w:id="1" w:name="_Hlk24032798"/>
      <w:r w:rsidR="00315150" w:rsidRPr="00315150">
        <w:rPr>
          <w:b/>
          <w:sz w:val="22"/>
        </w:rPr>
        <w:t>MPR for NB-IoT 16-QAM with modified IBE</w:t>
      </w:r>
    </w:p>
    <w:bookmarkEnd w:id="1"/>
    <w:p w14:paraId="075F9468" w14:textId="745C844B" w:rsidR="0043450E" w:rsidRPr="002C1CBC" w:rsidRDefault="0043450E" w:rsidP="0043450E">
      <w:pPr>
        <w:rPr>
          <w:b/>
          <w:sz w:val="22"/>
        </w:rPr>
      </w:pPr>
      <w:r w:rsidRPr="00294B92">
        <w:rPr>
          <w:b/>
          <w:sz w:val="22"/>
        </w:rPr>
        <w:t xml:space="preserve">Agenda Item: </w:t>
      </w:r>
      <w:r w:rsidRPr="00294B92">
        <w:rPr>
          <w:b/>
          <w:sz w:val="22"/>
        </w:rPr>
        <w:tab/>
      </w:r>
      <w:r w:rsidRPr="00294B92">
        <w:rPr>
          <w:b/>
          <w:sz w:val="22"/>
        </w:rPr>
        <w:tab/>
      </w:r>
      <w:r w:rsidRPr="00294B92">
        <w:rPr>
          <w:b/>
          <w:sz w:val="22"/>
        </w:rPr>
        <w:tab/>
      </w:r>
      <w:r w:rsidR="00294B92" w:rsidRPr="00874FEE">
        <w:rPr>
          <w:b/>
          <w:sz w:val="22"/>
        </w:rPr>
        <w:t>11.8.2.2</w:t>
      </w:r>
    </w:p>
    <w:p w14:paraId="78CD1F03" w14:textId="77777777" w:rsidR="0043450E" w:rsidRPr="002C1CBC" w:rsidRDefault="0043450E" w:rsidP="0043450E">
      <w:pPr>
        <w:tabs>
          <w:tab w:val="left" w:pos="1985"/>
        </w:tabs>
        <w:jc w:val="both"/>
        <w:rPr>
          <w:b/>
          <w:caps/>
          <w:sz w:val="22"/>
        </w:rPr>
      </w:pPr>
      <w:r w:rsidRPr="00294B92">
        <w:rPr>
          <w:b/>
          <w:sz w:val="22"/>
        </w:rPr>
        <w:t>Document for:</w:t>
      </w:r>
      <w:r w:rsidRPr="002C1CBC">
        <w:rPr>
          <w:b/>
          <w:sz w:val="22"/>
        </w:rPr>
        <w:tab/>
      </w:r>
      <w:r w:rsidR="00B43457" w:rsidRPr="002C1CBC">
        <w:rPr>
          <w:b/>
          <w:sz w:val="22"/>
        </w:rPr>
        <w:t>Discussion</w:t>
      </w:r>
    </w:p>
    <w:p w14:paraId="702BAFFF" w14:textId="77777777" w:rsidR="0043450E" w:rsidRDefault="0043450E" w:rsidP="0043450E">
      <w:pPr>
        <w:pStyle w:val="Heading1"/>
      </w:pPr>
      <w:r>
        <w:t>1</w:t>
      </w:r>
      <w:r>
        <w:tab/>
        <w:t>Introduction</w:t>
      </w:r>
    </w:p>
    <w:p w14:paraId="3F8AA85E" w14:textId="77777777" w:rsidR="0030425C" w:rsidRDefault="0030425C" w:rsidP="0030425C">
      <w:r>
        <w:t>So far, NB-IoT has included only the pi/2-BPSK and QPSK modulations. Now, 16-QAM is to be added and needs MPR values.</w:t>
      </w:r>
    </w:p>
    <w:p w14:paraId="20CFB119" w14:textId="19AFB241" w:rsidR="008A4D13" w:rsidRDefault="008A4D13" w:rsidP="00113359">
      <w:r>
        <w:t xml:space="preserve">In RAN4#99-e, </w:t>
      </w:r>
      <w:r w:rsidR="00D332DE">
        <w:t>two modifications to the in-band emission (IBE) mask of NB-IoT</w:t>
      </w:r>
      <w:r w:rsidR="00B901DF">
        <w:t xml:space="preserve"> for 16-QAM</w:t>
      </w:r>
      <w:r w:rsidR="00D332DE">
        <w:t xml:space="preserve"> were proposed </w:t>
      </w:r>
      <w:r w:rsidR="00F35D50">
        <w:t>[2]</w:t>
      </w:r>
      <w:r w:rsidR="002455F7">
        <w:t>[4]</w:t>
      </w:r>
      <w:r w:rsidR="0049615D">
        <w:t xml:space="preserve">. </w:t>
      </w:r>
      <w:r w:rsidR="00113359">
        <w:t xml:space="preserve">In </w:t>
      </w:r>
      <w:r w:rsidR="00001194">
        <w:t xml:space="preserve">this contribution, </w:t>
      </w:r>
      <w:r w:rsidR="00FF08B9">
        <w:t xml:space="preserve">together </w:t>
      </w:r>
      <w:r w:rsidR="00001194">
        <w:t xml:space="preserve">with </w:t>
      </w:r>
      <w:r w:rsidR="00924130">
        <w:t xml:space="preserve">an </w:t>
      </w:r>
      <w:r w:rsidR="00001194">
        <w:t xml:space="preserve">associated CR </w:t>
      </w:r>
      <w:r w:rsidR="00113359">
        <w:t>[</w:t>
      </w:r>
      <w:r w:rsidR="002D558A">
        <w:t>5</w:t>
      </w:r>
      <w:r w:rsidR="00113359">
        <w:t>], we propose a further improvement based on [</w:t>
      </w:r>
      <w:r w:rsidR="00F53DDB">
        <w:t>4</w:t>
      </w:r>
      <w:r w:rsidR="00113359">
        <w:t>]</w:t>
      </w:r>
      <w:r w:rsidR="002E14A9">
        <w:t xml:space="preserve"> to keep the requirements unchanged for legacy NB-IoT modulations</w:t>
      </w:r>
      <w:r w:rsidR="00113359">
        <w:t xml:space="preserve">. </w:t>
      </w:r>
      <w:r w:rsidR="006F7B77">
        <w:t xml:space="preserve">After </w:t>
      </w:r>
      <w:r w:rsidR="00113359">
        <w:t>discuss</w:t>
      </w:r>
      <w:r w:rsidR="006F7B77">
        <w:t>ing</w:t>
      </w:r>
      <w:r w:rsidR="00113359">
        <w:t xml:space="preserve"> the</w:t>
      </w:r>
      <w:r w:rsidR="00134796">
        <w:t>se IBE mask</w:t>
      </w:r>
      <w:r w:rsidR="00113359">
        <w:t xml:space="preserve"> modifications</w:t>
      </w:r>
      <w:r w:rsidR="00684EB7">
        <w:t xml:space="preserve">, we </w:t>
      </w:r>
      <w:r w:rsidR="00113359">
        <w:t>present MPR simulation results based on these masks.</w:t>
      </w:r>
    </w:p>
    <w:p w14:paraId="77992DE3" w14:textId="22CBEAF2" w:rsidR="000A6A9A" w:rsidRDefault="000A6A9A" w:rsidP="000A6A9A">
      <w:pPr>
        <w:pStyle w:val="Heading1"/>
      </w:pPr>
      <w:r>
        <w:t>2</w:t>
      </w:r>
      <w:r>
        <w:tab/>
        <w:t>Discussion</w:t>
      </w:r>
    </w:p>
    <w:p w14:paraId="039FF916" w14:textId="197038F7" w:rsidR="0011773A" w:rsidRDefault="00E12F11" w:rsidP="00E12F11">
      <w:r>
        <w:t xml:space="preserve">With 16-QAM, </w:t>
      </w:r>
      <w:r w:rsidR="0011773A">
        <w:t xml:space="preserve">the </w:t>
      </w:r>
      <w:r w:rsidR="000F3D28">
        <w:t>error vector magnitude (</w:t>
      </w:r>
      <w:r w:rsidR="0011773A">
        <w:t>EVM</w:t>
      </w:r>
      <w:r w:rsidR="000F3D28">
        <w:t>)</w:t>
      </w:r>
      <w:r w:rsidR="0011773A">
        <w:t xml:space="preserve"> and </w:t>
      </w:r>
      <w:r w:rsidR="000F3D28">
        <w:t>in-band emissions (</w:t>
      </w:r>
      <w:r w:rsidR="0011773A">
        <w:t>IBE</w:t>
      </w:r>
      <w:r w:rsidR="000F3D28">
        <w:t>)</w:t>
      </w:r>
      <w:r w:rsidR="0011773A">
        <w:t xml:space="preserve"> </w:t>
      </w:r>
      <w:r w:rsidR="009B1D48">
        <w:t xml:space="preserve">become </w:t>
      </w:r>
      <w:r w:rsidR="0011773A">
        <w:t>relevant</w:t>
      </w:r>
      <w:r w:rsidR="00356C91">
        <w:t xml:space="preserve"> and </w:t>
      </w:r>
      <w:r w:rsidR="0003166C">
        <w:t>should</w:t>
      </w:r>
      <w:r w:rsidR="00DA6CB0">
        <w:t xml:space="preserve"> </w:t>
      </w:r>
      <w:r w:rsidR="00356C91">
        <w:t xml:space="preserve">therefore </w:t>
      </w:r>
      <w:r w:rsidR="00DA6CB0">
        <w:t xml:space="preserve">be </w:t>
      </w:r>
      <w:r w:rsidR="00721ABE">
        <w:t xml:space="preserve">evaluated </w:t>
      </w:r>
      <w:r w:rsidR="00356C91">
        <w:t>in the simulation</w:t>
      </w:r>
      <w:r w:rsidR="002D5984">
        <w:t>s</w:t>
      </w:r>
      <w:r w:rsidR="00356C91">
        <w:t>.</w:t>
      </w:r>
      <w:r w:rsidR="00467DE5">
        <w:t xml:space="preserve"> This differs from </w:t>
      </w:r>
      <w:r w:rsidR="00AA6927">
        <w:t>E-UTRA</w:t>
      </w:r>
      <w:r w:rsidR="00467DE5">
        <w:t xml:space="preserve"> and NR where the PA is not driven as deep into saturation and hence the</w:t>
      </w:r>
      <w:r w:rsidR="00C360B5">
        <w:t>ir</w:t>
      </w:r>
      <w:r w:rsidR="00467DE5">
        <w:t xml:space="preserve"> MPR </w:t>
      </w:r>
      <w:r w:rsidR="00C360B5">
        <w:t xml:space="preserve">for 16-QAM </w:t>
      </w:r>
      <w:r w:rsidR="00467DE5">
        <w:t>is not affected by the EVM and IBE.</w:t>
      </w:r>
    </w:p>
    <w:p w14:paraId="01461A3A" w14:textId="3DA7952C" w:rsidR="00DF7C6F" w:rsidRDefault="00DF7C6F" w:rsidP="00E12F11">
      <w:r>
        <w:t>Currently, the General formula of the NB-I</w:t>
      </w:r>
      <w:r w:rsidR="007A52BD">
        <w:t>o</w:t>
      </w:r>
      <w:r>
        <w:t xml:space="preserve">T </w:t>
      </w:r>
      <w:r w:rsidR="00EE0A7A">
        <w:t xml:space="preserve">IBE </w:t>
      </w:r>
      <w:r>
        <w:t>mask in TS 36.101</w:t>
      </w:r>
      <w:r w:rsidR="00652DB7">
        <w:t xml:space="preserve">, </w:t>
      </w:r>
      <w:r w:rsidR="00652DB7" w:rsidRPr="00652DB7">
        <w:t>Table 6.5.2F.3-1</w:t>
      </w:r>
      <w:r w:rsidR="00652DB7">
        <w:t>,</w:t>
      </w:r>
      <w:r>
        <w:t xml:space="preserve"> </w:t>
      </w:r>
      <w:r w:rsidR="00A25EAC">
        <w:t xml:space="preserve">is specified </w:t>
      </w:r>
      <w:r>
        <w:t>as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4394"/>
        <w:gridCol w:w="1964"/>
      </w:tblGrid>
      <w:tr w:rsidR="005D2574" w:rsidRPr="001D386E" w14:paraId="13A8E651" w14:textId="77777777" w:rsidTr="00877306">
        <w:trPr>
          <w:jc w:val="center"/>
        </w:trPr>
        <w:tc>
          <w:tcPr>
            <w:tcW w:w="1414" w:type="dxa"/>
            <w:tcBorders>
              <w:bottom w:val="single" w:sz="4" w:space="0" w:color="auto"/>
              <w:right w:val="single" w:sz="4" w:space="0" w:color="auto"/>
            </w:tcBorders>
            <w:shd w:val="clear" w:color="auto" w:fill="auto"/>
            <w:vAlign w:val="center"/>
          </w:tcPr>
          <w:p w14:paraId="2C1CEA2C" w14:textId="77777777" w:rsidR="005D2574" w:rsidRPr="001D386E" w:rsidRDefault="005D2574" w:rsidP="00877306">
            <w:pPr>
              <w:pStyle w:val="TAH"/>
              <w:rPr>
                <w:rFonts w:cs="Arial"/>
                <w:i/>
                <w:iCs/>
                <w:lang w:eastAsia="ja-JP"/>
              </w:rPr>
            </w:pPr>
            <w:r w:rsidRPr="001D386E">
              <w:rPr>
                <w:rFonts w:cs="Arial"/>
                <w:lang w:eastAsia="ja-JP"/>
              </w:rPr>
              <w:t>Parameter description</w:t>
            </w:r>
          </w:p>
        </w:tc>
        <w:tc>
          <w:tcPr>
            <w:tcW w:w="1828" w:type="dxa"/>
            <w:tcBorders>
              <w:left w:val="single" w:sz="4" w:space="0" w:color="auto"/>
              <w:bottom w:val="single" w:sz="4" w:space="0" w:color="auto"/>
              <w:right w:val="single" w:sz="4" w:space="0" w:color="auto"/>
            </w:tcBorders>
            <w:shd w:val="clear" w:color="auto" w:fill="auto"/>
            <w:vAlign w:val="center"/>
          </w:tcPr>
          <w:p w14:paraId="6C505C12" w14:textId="77777777" w:rsidR="005D2574" w:rsidRPr="001D386E" w:rsidRDefault="005D2574" w:rsidP="00877306">
            <w:pPr>
              <w:pStyle w:val="TAH"/>
              <w:rPr>
                <w:rFonts w:cs="Arial"/>
                <w:lang w:eastAsia="ja-JP"/>
              </w:rPr>
            </w:pPr>
            <w:r w:rsidRPr="001D386E">
              <w:rPr>
                <w:rFonts w:cs="Arial"/>
                <w:lang w:eastAsia="ja-JP"/>
              </w:rPr>
              <w:t>Unit</w:t>
            </w:r>
          </w:p>
        </w:tc>
        <w:tc>
          <w:tcPr>
            <w:tcW w:w="4394" w:type="dxa"/>
            <w:tcBorders>
              <w:left w:val="single" w:sz="4" w:space="0" w:color="auto"/>
              <w:bottom w:val="single" w:sz="4" w:space="0" w:color="auto"/>
              <w:right w:val="single" w:sz="4" w:space="0" w:color="auto"/>
            </w:tcBorders>
            <w:shd w:val="clear" w:color="auto" w:fill="auto"/>
            <w:vAlign w:val="center"/>
          </w:tcPr>
          <w:p w14:paraId="61E90052" w14:textId="77777777" w:rsidR="005D2574" w:rsidRPr="001D386E" w:rsidRDefault="005D2574" w:rsidP="00877306">
            <w:pPr>
              <w:pStyle w:val="TAH"/>
              <w:rPr>
                <w:rFonts w:cs="Arial"/>
                <w:lang w:eastAsia="ja-JP"/>
              </w:rPr>
            </w:pPr>
            <w:r w:rsidRPr="001D386E">
              <w:rPr>
                <w:rFonts w:cs="Arial"/>
                <w:lang w:eastAsia="ja-JP"/>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42BE2547" w14:textId="77777777" w:rsidR="005D2574" w:rsidRPr="001D386E" w:rsidRDefault="005D2574" w:rsidP="00877306">
            <w:pPr>
              <w:pStyle w:val="TAH"/>
              <w:rPr>
                <w:rFonts w:cs="Arial"/>
                <w:lang w:eastAsia="ja-JP"/>
              </w:rPr>
            </w:pPr>
            <w:r w:rsidRPr="001D386E">
              <w:rPr>
                <w:rFonts w:cs="Arial"/>
                <w:lang w:eastAsia="ja-JP"/>
              </w:rPr>
              <w:t>Applicable Frequencies</w:t>
            </w:r>
          </w:p>
        </w:tc>
      </w:tr>
      <w:tr w:rsidR="005D2574" w:rsidRPr="001D386E" w14:paraId="0FC4D65F" w14:textId="77777777" w:rsidTr="00877306">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51987CE1" w14:textId="77777777" w:rsidR="005D2574" w:rsidRPr="001D386E" w:rsidRDefault="005D2574" w:rsidP="00877306">
            <w:pPr>
              <w:pStyle w:val="TAH"/>
              <w:rPr>
                <w:rFonts w:cs="Arial"/>
                <w:lang w:eastAsia="ja-JP"/>
              </w:rPr>
            </w:pPr>
            <w:r w:rsidRPr="001D386E">
              <w:rPr>
                <w:rFonts w:cs="Arial"/>
                <w:lang w:eastAsia="ja-JP"/>
              </w:rPr>
              <w:t>General</w:t>
            </w:r>
          </w:p>
        </w:tc>
        <w:tc>
          <w:tcPr>
            <w:tcW w:w="1828" w:type="dxa"/>
            <w:tcBorders>
              <w:top w:val="single" w:sz="4" w:space="0" w:color="auto"/>
              <w:left w:val="single" w:sz="4" w:space="0" w:color="auto"/>
              <w:bottom w:val="single" w:sz="4" w:space="0" w:color="auto"/>
              <w:right w:val="single" w:sz="4" w:space="0" w:color="auto"/>
            </w:tcBorders>
            <w:vAlign w:val="center"/>
          </w:tcPr>
          <w:p w14:paraId="61FB9A34" w14:textId="77777777" w:rsidR="005D2574" w:rsidRPr="001D386E" w:rsidRDefault="005D2574" w:rsidP="00877306">
            <w:pPr>
              <w:pStyle w:val="TAC"/>
              <w:rPr>
                <w:rFonts w:cs="Arial"/>
                <w:lang w:eastAsia="ja-JP"/>
              </w:rPr>
            </w:pPr>
            <w:r w:rsidRPr="001D386E">
              <w:rPr>
                <w:rFonts w:cs="Arial"/>
                <w:lang w:eastAsia="ja-JP"/>
              </w:rPr>
              <w:t>dB</w:t>
            </w:r>
          </w:p>
        </w:tc>
        <w:tc>
          <w:tcPr>
            <w:tcW w:w="4394" w:type="dxa"/>
            <w:tcBorders>
              <w:top w:val="single" w:sz="4" w:space="0" w:color="auto"/>
              <w:left w:val="single" w:sz="4" w:space="0" w:color="auto"/>
              <w:bottom w:val="single" w:sz="4" w:space="0" w:color="auto"/>
              <w:right w:val="single" w:sz="4" w:space="0" w:color="auto"/>
            </w:tcBorders>
            <w:vAlign w:val="center"/>
          </w:tcPr>
          <w:p w14:paraId="0C57AE43" w14:textId="77777777" w:rsidR="005D2574" w:rsidRPr="001D386E" w:rsidRDefault="005D2574" w:rsidP="00877306">
            <w:pPr>
              <w:pStyle w:val="TAC"/>
              <w:rPr>
                <w:rFonts w:cs="Arial"/>
                <w:lang w:eastAsia="ja-JP"/>
              </w:rPr>
            </w:pPr>
            <w:r w:rsidRPr="001D386E">
              <w:rPr>
                <w:rFonts w:cs="Arial"/>
                <w:position w:val="-50"/>
                <w:lang w:eastAsia="ja-JP"/>
              </w:rPr>
              <w:object w:dxaOrig="3640" w:dyaOrig="1120" w14:anchorId="0A1A4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45.75pt" o:ole="">
                  <v:imagedata r:id="rId8" o:title=""/>
                </v:shape>
                <o:OLEObject Type="Embed" ProgID="Equation.3" ShapeID="_x0000_i1025" DrawAspect="Content" ObjectID="_1689807456" r:id="rId9"/>
              </w:object>
            </w:r>
          </w:p>
        </w:tc>
        <w:tc>
          <w:tcPr>
            <w:tcW w:w="1964" w:type="dxa"/>
            <w:tcBorders>
              <w:top w:val="single" w:sz="4" w:space="0" w:color="auto"/>
              <w:left w:val="single" w:sz="4" w:space="0" w:color="auto"/>
              <w:bottom w:val="single" w:sz="4" w:space="0" w:color="auto"/>
              <w:right w:val="single" w:sz="4" w:space="0" w:color="auto"/>
            </w:tcBorders>
            <w:vAlign w:val="center"/>
          </w:tcPr>
          <w:p w14:paraId="1AC4ED00" w14:textId="77777777" w:rsidR="005D2574" w:rsidRPr="001D386E" w:rsidRDefault="005D2574" w:rsidP="00877306">
            <w:pPr>
              <w:pStyle w:val="TAC"/>
              <w:rPr>
                <w:rFonts w:cs="Arial"/>
                <w:lang w:eastAsia="ja-JP"/>
              </w:rPr>
            </w:pPr>
            <w:r w:rsidRPr="001D386E">
              <w:rPr>
                <w:rFonts w:cs="Arial"/>
                <w:lang w:eastAsia="ja-JP"/>
              </w:rPr>
              <w:t>Any non-allocated (NOTE 2)</w:t>
            </w:r>
          </w:p>
        </w:tc>
      </w:tr>
    </w:tbl>
    <w:p w14:paraId="536AE2EA" w14:textId="77777777" w:rsidR="00DF7C6F" w:rsidRDefault="00DF7C6F" w:rsidP="00E12F11"/>
    <w:p w14:paraId="0ADB4C18" w14:textId="7AF41474" w:rsidR="00B139A8" w:rsidRDefault="00976EC7" w:rsidP="006E118A">
      <w:r>
        <w:t xml:space="preserve">The higher the modulation order, the higher </w:t>
      </w:r>
      <w:r w:rsidR="002B0784">
        <w:t xml:space="preserve">an </w:t>
      </w:r>
      <w:r>
        <w:t>SINR (i.e., higher received power) is needed in the receiver for successful reception. However, this should not result in higher</w:t>
      </w:r>
      <w:r w:rsidR="00B139A8">
        <w:t xml:space="preserve"> absolute</w:t>
      </w:r>
      <w:r>
        <w:t xml:space="preserve"> in-band emission. </w:t>
      </w:r>
      <w:r w:rsidR="003B131D">
        <w:t xml:space="preserve">In E-UTRA and NR, </w:t>
      </w:r>
      <w:r w:rsidR="00655B94">
        <w:t>such a modulation-dependent</w:t>
      </w:r>
      <w:r w:rsidR="00E36438">
        <w:t xml:space="preserve"> IBE mask</w:t>
      </w:r>
      <w:r w:rsidR="00655B94">
        <w:t xml:space="preserve"> </w:t>
      </w:r>
      <w:r>
        <w:t xml:space="preserve">is achieved </w:t>
      </w:r>
      <w:r w:rsidR="006B697A">
        <w:t xml:space="preserve">conveniently </w:t>
      </w:r>
      <w:r>
        <w:t xml:space="preserve">by using the EVM limit </w:t>
      </w:r>
      <w:r w:rsidR="00055D58">
        <w:t xml:space="preserve">in the second </w:t>
      </w:r>
      <w:r w:rsidR="00136CD8">
        <w:t>G</w:t>
      </w:r>
      <w:r w:rsidR="007232BF">
        <w:t>e</w:t>
      </w:r>
      <w:r w:rsidR="00136CD8">
        <w:t>neral</w:t>
      </w:r>
      <w:r w:rsidR="00055D58">
        <w:t xml:space="preserve"> formula</w:t>
      </w:r>
      <w:r w:rsidR="001C7A85">
        <w:t xml:space="preserve"> </w:t>
      </w:r>
      <w:r w:rsidR="00B966C3">
        <w:t>(</w:t>
      </w:r>
      <w:r w:rsidR="00186E4F" w:rsidRPr="00186E4F">
        <w:t>Table 6.5.2.3.1-1</w:t>
      </w:r>
      <w:r w:rsidR="000C4315">
        <w:t xml:space="preserve"> of TS 36.101</w:t>
      </w:r>
      <w:r w:rsidR="00B966C3">
        <w:t>)</w:t>
      </w:r>
      <w:r w:rsidR="00D3525C">
        <w:t>:</w:t>
      </w:r>
    </w:p>
    <w:p w14:paraId="522E0AF0" w14:textId="77777777" w:rsidR="00B139A8" w:rsidRPr="00976EC7" w:rsidRDefault="00B139A8" w:rsidP="00B139A8">
      <m:oMathPara>
        <m:oMath>
          <m:r>
            <w:rPr>
              <w:rFonts w:ascii="Cambria Math" w:cs="Arial"/>
              <w:color w:val="FF0000"/>
            </w:rPr>
            <m:t>20</m:t>
          </m:r>
          <m:r>
            <w:rPr>
              <w:rFonts w:ascii="Cambria Math" w:hAnsi="Cambria Math" w:cs="Cambria Math"/>
              <w:color w:val="FF0000"/>
            </w:rPr>
            <m:t>⋅</m:t>
          </m:r>
          <m:func>
            <m:funcPr>
              <m:ctrlPr>
                <w:rPr>
                  <w:rFonts w:ascii="Cambria Math" w:hAnsi="Cambria Math" w:cs="Arial"/>
                  <w:i/>
                  <w:color w:val="FF0000"/>
                </w:rPr>
              </m:ctrlPr>
            </m:funcPr>
            <m:fName>
              <m:sSub>
                <m:sSubPr>
                  <m:ctrlPr>
                    <w:rPr>
                      <w:rFonts w:ascii="Cambria Math" w:hAnsi="Cambria Math" w:cs="Arial"/>
                      <w:i/>
                      <w:color w:val="FF0000"/>
                    </w:rPr>
                  </m:ctrlPr>
                </m:sSubPr>
                <m:e>
                  <m:r>
                    <w:rPr>
                      <w:rFonts w:ascii="Cambria Math" w:cs="Arial"/>
                      <w:color w:val="FF0000"/>
                    </w:rPr>
                    <m:t>log</m:t>
                  </m:r>
                </m:e>
                <m:sub>
                  <m:r>
                    <w:rPr>
                      <w:rFonts w:ascii="Cambria Math" w:cs="Arial"/>
                      <w:color w:val="FF0000"/>
                    </w:rPr>
                    <m:t>10</m:t>
                  </m:r>
                </m:sub>
              </m:sSub>
            </m:fName>
            <m:e>
              <m:r>
                <w:rPr>
                  <w:rFonts w:ascii="Cambria Math" w:cs="Arial"/>
                  <w:color w:val="FF0000"/>
                </w:rPr>
                <m:t>E</m:t>
              </m:r>
            </m:e>
          </m:func>
          <m:r>
            <w:rPr>
              <w:rFonts w:ascii="Cambria Math" w:cs="Arial"/>
              <w:color w:val="FF0000"/>
            </w:rPr>
            <m:t>VM</m:t>
          </m:r>
          <m:r>
            <w:rPr>
              <w:rFonts w:ascii="Cambria Math" w:cs="Arial"/>
              <w:color w:val="FF0000"/>
            </w:rPr>
            <m:t>-</m:t>
          </m:r>
          <m:r>
            <w:rPr>
              <w:rFonts w:ascii="Cambria Math" w:cs="Arial"/>
              <w:color w:val="FF0000"/>
            </w:rPr>
            <m:t>3</m:t>
          </m:r>
          <m:r>
            <w:rPr>
              <w:rFonts w:ascii="Cambria Math" w:cs="Arial"/>
            </w:rPr>
            <m:t>-</m:t>
          </m:r>
          <m:r>
            <w:rPr>
              <w:rFonts w:ascii="Cambria Math" w:cs="Arial"/>
            </w:rPr>
            <m:t>5</m:t>
          </m:r>
          <m:r>
            <w:rPr>
              <w:rFonts w:ascii="Cambria Math" w:hAnsi="Cambria Math" w:cs="Cambria Math"/>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oMath>
      </m:oMathPara>
    </w:p>
    <w:p w14:paraId="06759B01" w14:textId="3FE6EE0A" w:rsidR="00976EC7" w:rsidRDefault="001C7A85" w:rsidP="00096508">
      <w:r>
        <w:t xml:space="preserve">This formula </w:t>
      </w:r>
      <w:r w:rsidR="008C18E6">
        <w:t xml:space="preserve">creates the slope part of the </w:t>
      </w:r>
      <w:r w:rsidR="0003728B">
        <w:t xml:space="preserve">IBE </w:t>
      </w:r>
      <w:r w:rsidR="008C18E6">
        <w:t xml:space="preserve">mask, </w:t>
      </w:r>
      <w:r>
        <w:t>allow</w:t>
      </w:r>
      <w:r w:rsidR="008C18E6">
        <w:t xml:space="preserve">ing </w:t>
      </w:r>
      <w:r>
        <w:t xml:space="preserve">the spectral regrowth to fit under the mask. </w:t>
      </w:r>
      <w:r w:rsidR="00B139A8">
        <w:t xml:space="preserve">In NB-IoT, originally, </w:t>
      </w:r>
      <w:r w:rsidR="00796DD7">
        <w:t>pi/2-</w:t>
      </w:r>
      <w:r w:rsidR="008F4789">
        <w:t xml:space="preserve">BPSK and QPSK </w:t>
      </w:r>
      <w:r w:rsidR="000336AA">
        <w:t xml:space="preserve">were the only </w:t>
      </w:r>
      <w:r w:rsidR="008F4789">
        <w:t>modulations. They have a common EVM limit</w:t>
      </w:r>
      <w:r w:rsidR="00317C8C">
        <w:t xml:space="preserve"> of 17.5 %</w:t>
      </w:r>
      <w:r w:rsidR="008F4789">
        <w:t xml:space="preserve"> </w:t>
      </w:r>
      <w:r w:rsidR="005723DF">
        <w:t>which</w:t>
      </w:r>
      <w:r w:rsidR="00935DAE">
        <w:t xml:space="preserve"> </w:t>
      </w:r>
      <w:r w:rsidR="008F4789">
        <w:t>was hard-written into</w:t>
      </w:r>
      <w:r w:rsidR="00DB090B">
        <w:t xml:space="preserve"> the</w:t>
      </w:r>
      <w:r w:rsidR="008F4789">
        <w:t xml:space="preserve"> </w:t>
      </w:r>
      <w:r w:rsidR="002678A2">
        <w:t xml:space="preserve">second General formula of </w:t>
      </w:r>
      <w:r w:rsidR="008F4789">
        <w:t xml:space="preserve">the IBE mask </w:t>
      </w:r>
      <w:r w:rsidR="00EC327D">
        <w:t>(with a small rounding error)</w:t>
      </w:r>
      <w:r w:rsidR="0092101F">
        <w:t>,</w:t>
      </w:r>
      <w:r w:rsidR="004013D8">
        <w:t xml:space="preserve"> </w:t>
      </w:r>
      <w:r w:rsidR="0092101F">
        <w:t xml:space="preserve">in </w:t>
      </w:r>
      <w:r w:rsidR="00055D58" w:rsidRPr="00055D58">
        <w:t>Table 6.5.2F.3-1</w:t>
      </w:r>
      <w:r w:rsidR="00055D58">
        <w:t>:</w:t>
      </w:r>
    </w:p>
    <w:p w14:paraId="44CC7D39" w14:textId="3B84E722" w:rsidR="00055D58" w:rsidRDefault="00055D58" w:rsidP="00597B98">
      <w:pPr>
        <w:jc w:val="center"/>
        <w:rPr>
          <w:lang w:eastAsia="ja-JP"/>
        </w:rPr>
      </w:pPr>
      <m:oMath>
        <m:r>
          <w:rPr>
            <w:rFonts w:ascii="Cambria Math" w:cs="Arial"/>
            <w:color w:val="FF0000"/>
            <w:lang w:eastAsia="ja-JP"/>
          </w:rPr>
          <m:t>-</m:t>
        </m:r>
        <m:r>
          <w:rPr>
            <w:rFonts w:ascii="Cambria Math" w:cs="Arial"/>
            <w:color w:val="FF0000"/>
            <w:lang w:eastAsia="ja-JP"/>
          </w:rPr>
          <m:t>18</m:t>
        </m:r>
        <m:r>
          <w:rPr>
            <w:rFonts w:ascii="Cambria Math" w:cs="Arial"/>
            <w:lang w:eastAsia="ja-JP"/>
          </w:rPr>
          <m:t>-</m:t>
        </m:r>
        <m:r>
          <w:rPr>
            <w:rFonts w:ascii="Cambria Math" w:cs="Arial"/>
            <w:lang w:eastAsia="ja-JP"/>
          </w:rPr>
          <m:t>5</m:t>
        </m:r>
        <m:r>
          <w:rPr>
            <w:rFonts w:ascii="Cambria Math" w:hAnsi="Cambria Math" w:cs="Cambria Math"/>
            <w:lang w:eastAsia="ja-JP"/>
          </w:rPr>
          <m:t>⋅</m:t>
        </m:r>
        <m:r>
          <w:rPr>
            <w:rFonts w:ascii="Cambria Math" w:cs="Arial"/>
            <w:lang w:eastAsia="ja-JP"/>
          </w:rPr>
          <m:t>(</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cs="Arial"/>
                    <w:lang w:eastAsia="ja-JP"/>
                  </w:rPr>
                  <m:t>Δ</m:t>
                </m:r>
              </m:e>
              <m:sub>
                <m:r>
                  <w:rPr>
                    <w:rFonts w:ascii="Cambria Math" w:cs="Arial"/>
                    <w:lang w:eastAsia="ja-JP"/>
                  </w:rPr>
                  <m:t>tone</m:t>
                </m:r>
              </m:sub>
            </m:sSub>
          </m:e>
        </m:d>
        <m:r>
          <w:rPr>
            <w:rFonts w:ascii="Cambria Math" w:cs="Arial"/>
            <w:lang w:eastAsia="ja-JP"/>
          </w:rPr>
          <m:t>-</m:t>
        </m:r>
        <m:r>
          <w:rPr>
            <w:rFonts w:ascii="Cambria Math" w:cs="Arial"/>
            <w:lang w:eastAsia="ja-JP"/>
          </w:rPr>
          <m:t>1)/</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oMath>
      <w:r w:rsidR="00597B98">
        <w:rPr>
          <w:lang w:eastAsia="ja-JP"/>
        </w:rPr>
        <w:t>,</w:t>
      </w:r>
    </w:p>
    <w:p w14:paraId="74A3DBEA" w14:textId="7499D25C" w:rsidR="00597B98" w:rsidRDefault="00826D73" w:rsidP="00597B98">
      <w:r>
        <w:rPr>
          <w:lang w:eastAsia="ja-JP"/>
        </w:rPr>
        <w:t>whereas</w:t>
      </w:r>
      <w:r w:rsidR="00597B98">
        <w:rPr>
          <w:lang w:eastAsia="ja-JP"/>
        </w:rPr>
        <w:t xml:space="preserve"> </w:t>
      </w:r>
      <m:oMath>
        <m:r>
          <w:rPr>
            <w:rFonts w:ascii="Cambria Math" w:cs="Arial"/>
          </w:rPr>
          <m:t>20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0.175</m:t>
            </m:r>
          </m:e>
        </m:func>
        <m:r>
          <w:rPr>
            <w:rFonts w:ascii="Cambria Math" w:cs="Arial"/>
          </w:rPr>
          <m:t>-</m:t>
        </m:r>
        <m:r>
          <w:rPr>
            <w:rFonts w:ascii="Cambria Math" w:cs="Arial"/>
          </w:rPr>
          <m:t>3</m:t>
        </m:r>
        <m:r>
          <w:rPr>
            <w:rFonts w:ascii="Cambria Math" w:cs="Arial"/>
            <w:i/>
          </w:rPr>
          <w:sym w:font="Symbol" w:char="F0BB"/>
        </m:r>
        <m:r>
          <w:rPr>
            <w:rFonts w:ascii="Cambria Math" w:cs="Arial"/>
          </w:rPr>
          <m:t>-</m:t>
        </m:r>
        <m:r>
          <w:rPr>
            <w:rFonts w:ascii="Cambria Math" w:cs="Arial"/>
          </w:rPr>
          <m:t>18.14</m:t>
        </m:r>
      </m:oMath>
      <w:r w:rsidR="00770756">
        <w:t>.</w:t>
      </w:r>
    </w:p>
    <w:p w14:paraId="45D5FFD8" w14:textId="4C27F8A6" w:rsidR="00096508" w:rsidRDefault="00096508" w:rsidP="00096508">
      <w:r>
        <w:t xml:space="preserve">With the introduction of 16-QAM, the modulation dependence of </w:t>
      </w:r>
      <w:r w:rsidR="001C5BC5">
        <w:t xml:space="preserve">IBE mask </w:t>
      </w:r>
      <w:r>
        <w:t xml:space="preserve">should be applied also to NB-IoT. </w:t>
      </w:r>
      <w:r w:rsidR="00893243">
        <w:t>In [</w:t>
      </w:r>
      <w:r w:rsidR="00072555">
        <w:t>2</w:t>
      </w:r>
      <w:r w:rsidR="00893243">
        <w:t>]</w:t>
      </w:r>
      <w:r w:rsidR="00072555">
        <w:t>[3]</w:t>
      </w:r>
      <w:r w:rsidR="00893243">
        <w:t xml:space="preserve">, we proposed a </w:t>
      </w:r>
      <w:r>
        <w:t>modified IBE mask</w:t>
      </w:r>
      <w:r w:rsidR="006730C2">
        <w:t xml:space="preserve"> with</w:t>
      </w:r>
      <w:r w:rsidR="000540FA">
        <w:t xml:space="preserve"> the second General formula written as</w:t>
      </w:r>
    </w:p>
    <w:p w14:paraId="57D5648E" w14:textId="6D710158" w:rsidR="00C06537" w:rsidRDefault="00C06537" w:rsidP="00096508">
      <m:oMathPara>
        <m:oMath>
          <m:r>
            <w:rPr>
              <w:rFonts w:ascii="Cambria Math" w:cs="Arial"/>
              <w:color w:val="FF0000"/>
              <w:lang w:eastAsia="ja-JP"/>
            </w:rPr>
            <m:t xml:space="preserve">20 </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cs="Arial"/>
                      <w:color w:val="FF0000"/>
                      <w:lang w:eastAsia="ja-JP"/>
                    </w:rPr>
                    <m:t>log</m:t>
                  </m:r>
                </m:e>
                <m:sub>
                  <m:r>
                    <w:rPr>
                      <w:rFonts w:ascii="Cambria Math" w:cs="Arial"/>
                      <w:color w:val="FF0000"/>
                      <w:lang w:eastAsia="ja-JP"/>
                    </w:rPr>
                    <m:t>10</m:t>
                  </m:r>
                </m:sub>
              </m:sSub>
            </m:fName>
            <m:e>
              <m:r>
                <w:rPr>
                  <w:rFonts w:ascii="Cambria Math" w:cs="Arial"/>
                  <w:color w:val="FF0000"/>
                  <w:lang w:eastAsia="ja-JP"/>
                </w:rPr>
                <m:t>EVM</m:t>
              </m:r>
            </m:e>
          </m:func>
          <m:r>
            <w:rPr>
              <w:rFonts w:ascii="Cambria Math" w:cs="Arial"/>
              <w:color w:val="FF0000"/>
              <w:lang w:eastAsia="ja-JP"/>
            </w:rPr>
            <m:t>-</m:t>
          </m:r>
          <m:r>
            <w:rPr>
              <w:rFonts w:ascii="Cambria Math" w:cs="Arial"/>
              <w:color w:val="FF0000"/>
              <w:lang w:eastAsia="ja-JP"/>
            </w:rPr>
            <m:t>3</m:t>
          </m:r>
          <m:r>
            <w:rPr>
              <w:rFonts w:ascii="Cambria Math" w:cs="Arial"/>
              <w:lang w:eastAsia="ja-JP"/>
            </w:rPr>
            <m:t>-</m:t>
          </m:r>
          <m:r>
            <w:rPr>
              <w:rFonts w:ascii="Cambria Math" w:cs="Arial"/>
              <w:lang w:eastAsia="ja-JP"/>
            </w:rPr>
            <m:t>5</m:t>
          </m:r>
          <m:r>
            <w:rPr>
              <w:rFonts w:ascii="Cambria Math" w:hAnsi="Cambria Math" w:cs="Cambria Math"/>
              <w:lang w:eastAsia="ja-JP"/>
            </w:rPr>
            <m:t>⋅</m:t>
          </m:r>
          <m:r>
            <w:rPr>
              <w:rFonts w:ascii="Cambria Math" w:cs="Arial"/>
              <w:lang w:eastAsia="ja-JP"/>
            </w:rPr>
            <m:t>(</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cs="Arial"/>
                      <w:lang w:eastAsia="ja-JP"/>
                    </w:rPr>
                    <m:t>Δ</m:t>
                  </m:r>
                </m:e>
                <m:sub>
                  <m:r>
                    <w:rPr>
                      <w:rFonts w:ascii="Cambria Math" w:cs="Arial"/>
                      <w:lang w:eastAsia="ja-JP"/>
                    </w:rPr>
                    <m:t>tone</m:t>
                  </m:r>
                </m:sub>
              </m:sSub>
            </m:e>
          </m:d>
          <m:r>
            <w:rPr>
              <w:rFonts w:ascii="Cambria Math" w:cs="Arial"/>
              <w:lang w:eastAsia="ja-JP"/>
            </w:rPr>
            <m:t>-</m:t>
          </m:r>
          <m:r>
            <w:rPr>
              <w:rFonts w:ascii="Cambria Math" w:cs="Arial"/>
              <w:lang w:eastAsia="ja-JP"/>
            </w:rPr>
            <m:t>1)/</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r>
            <w:rPr>
              <w:rFonts w:ascii="Cambria Math" w:hAnsi="Cambria Math"/>
              <w:lang w:eastAsia="ja-JP"/>
            </w:rPr>
            <m:t>.</m:t>
          </m:r>
        </m:oMath>
      </m:oMathPara>
    </w:p>
    <w:p w14:paraId="118D84D4" w14:textId="62B5A77B" w:rsidR="00A54F3C" w:rsidRDefault="00A54F3C" w:rsidP="00E12F11">
      <w:r w:rsidRPr="002C1CBC">
        <w:t xml:space="preserve">Importantly, this </w:t>
      </w:r>
      <w:r>
        <w:t>does not change the IBE mask for legacy pi/2-BPSK and QPSK (except for a small rounding error).</w:t>
      </w:r>
    </w:p>
    <w:p w14:paraId="6DE712EA" w14:textId="42EB239E" w:rsidR="00E03DB7" w:rsidRPr="0044664E" w:rsidRDefault="00E03DB7" w:rsidP="00E12F11">
      <w:pPr>
        <w:rPr>
          <w:b/>
          <w:bCs/>
        </w:rPr>
      </w:pPr>
      <w:r w:rsidRPr="0044664E">
        <w:rPr>
          <w:b/>
          <w:bCs/>
        </w:rPr>
        <w:t xml:space="preserve">Proposal 1: </w:t>
      </w:r>
      <w:r w:rsidR="00295A51">
        <w:rPr>
          <w:b/>
          <w:bCs/>
        </w:rPr>
        <w:t>Numerically</w:t>
      </w:r>
      <w:r w:rsidR="0087030E">
        <w:rPr>
          <w:b/>
          <w:bCs/>
        </w:rPr>
        <w:t>, t</w:t>
      </w:r>
      <w:r w:rsidRPr="0044664E">
        <w:rPr>
          <w:b/>
          <w:bCs/>
        </w:rPr>
        <w:t xml:space="preserve">he NB-IoT IBE mask </w:t>
      </w:r>
      <w:r w:rsidR="00BF6B78" w:rsidRPr="00877306">
        <w:rPr>
          <w:b/>
          <w:bCs/>
        </w:rPr>
        <w:t>for pi/2-BPSK and QPSK</w:t>
      </w:r>
      <w:r w:rsidR="00BF6B78" w:rsidRPr="00BF6B78">
        <w:rPr>
          <w:b/>
          <w:bCs/>
        </w:rPr>
        <w:t xml:space="preserve"> </w:t>
      </w:r>
      <w:r w:rsidRPr="0044664E">
        <w:rPr>
          <w:b/>
          <w:bCs/>
        </w:rPr>
        <w:t>should not change significantly.</w:t>
      </w:r>
    </w:p>
    <w:p w14:paraId="2DBC8076" w14:textId="00C194E4" w:rsidR="0043686B" w:rsidRDefault="00CC0305" w:rsidP="000C2E26">
      <w:pPr>
        <w:rPr>
          <w:b/>
          <w:bCs/>
        </w:rPr>
      </w:pPr>
      <w:r>
        <w:rPr>
          <w:b/>
          <w:bCs/>
        </w:rPr>
        <w:t xml:space="preserve">Proposal </w:t>
      </w:r>
      <w:r w:rsidR="00C25F2D">
        <w:rPr>
          <w:b/>
          <w:bCs/>
        </w:rPr>
        <w:t>2</w:t>
      </w:r>
      <w:r>
        <w:rPr>
          <w:b/>
          <w:bCs/>
        </w:rPr>
        <w:t xml:space="preserve">: </w:t>
      </w:r>
      <w:r w:rsidR="000C2E26">
        <w:rPr>
          <w:b/>
          <w:bCs/>
        </w:rPr>
        <w:t xml:space="preserve">Define </w:t>
      </w:r>
      <w:r>
        <w:rPr>
          <w:b/>
          <w:bCs/>
        </w:rPr>
        <w:t xml:space="preserve">the second General formula of </w:t>
      </w:r>
      <w:r w:rsidRPr="006112E5">
        <w:rPr>
          <w:b/>
          <w:bCs/>
        </w:rPr>
        <w:t>NB-IoT IBE mask</w:t>
      </w:r>
      <w:r w:rsidR="000C2E26">
        <w:rPr>
          <w:b/>
          <w:bCs/>
        </w:rPr>
        <w:t xml:space="preserve"> as</w:t>
      </w:r>
    </w:p>
    <w:p w14:paraId="598E1599" w14:textId="3FDE7296" w:rsidR="000C2E26" w:rsidRDefault="000C2E26" w:rsidP="000C2E26">
      <m:oMathPara>
        <m:oMath>
          <m:r>
            <m:rPr>
              <m:sty m:val="bi"/>
            </m:rPr>
            <w:rPr>
              <w:rFonts w:ascii="Cambria Math" w:cs="Arial"/>
              <w:lang w:eastAsia="ja-JP"/>
            </w:rPr>
            <m:t xml:space="preserve">20 </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cs="Arial"/>
                      <w:lang w:eastAsia="ja-JP"/>
                    </w:rPr>
                    <m:t>log</m:t>
                  </m:r>
                </m:e>
                <m:sub>
                  <m:r>
                    <m:rPr>
                      <m:sty m:val="bi"/>
                    </m:rPr>
                    <w:rPr>
                      <w:rFonts w:ascii="Cambria Math" w:cs="Arial"/>
                      <w:lang w:eastAsia="ja-JP"/>
                    </w:rPr>
                    <m:t>10</m:t>
                  </m:r>
                </m:sub>
              </m:sSub>
            </m:fName>
            <m:e>
              <m:r>
                <m:rPr>
                  <m:sty m:val="bi"/>
                </m:rPr>
                <w:rPr>
                  <w:rFonts w:ascii="Cambria Math" w:cs="Arial"/>
                  <w:lang w:eastAsia="ja-JP"/>
                </w:rPr>
                <m:t>EVM</m:t>
              </m:r>
            </m:e>
          </m:func>
          <m:r>
            <m:rPr>
              <m:sty m:val="bi"/>
            </m:rPr>
            <w:rPr>
              <w:rFonts w:ascii="Cambria Math" w:cs="Arial"/>
              <w:lang w:eastAsia="ja-JP"/>
            </w:rPr>
            <m:t>-</m:t>
          </m:r>
          <m:r>
            <m:rPr>
              <m:sty m:val="bi"/>
            </m:rPr>
            <w:rPr>
              <w:rFonts w:ascii="Cambria Math" w:cs="Arial"/>
              <w:lang w:eastAsia="ja-JP"/>
            </w:rPr>
            <m:t>3</m:t>
          </m:r>
          <m:r>
            <m:rPr>
              <m:sty m:val="bi"/>
            </m:rPr>
            <w:rPr>
              <w:rFonts w:ascii="Cambria Math" w:cs="Arial"/>
              <w:lang w:eastAsia="ja-JP"/>
            </w:rPr>
            <m:t>-</m:t>
          </m:r>
          <m:r>
            <m:rPr>
              <m:sty m:val="bi"/>
            </m:rPr>
            <w:rPr>
              <w:rFonts w:ascii="Cambria Math" w:cs="Arial"/>
              <w:lang w:eastAsia="ja-JP"/>
            </w:rPr>
            <m:t>5</m:t>
          </m:r>
          <m:r>
            <m:rPr>
              <m:sty m:val="bi"/>
            </m:rPr>
            <w:rPr>
              <w:rFonts w:ascii="Cambria Math" w:hAnsi="Cambria Math" w:cs="Cambria Math"/>
              <w:lang w:eastAsia="ja-JP"/>
            </w:rPr>
            <m:t>⋅</m:t>
          </m:r>
          <m:r>
            <m:rPr>
              <m:sty m:val="bi"/>
            </m:rPr>
            <w:rPr>
              <w:rFonts w:ascii="Cambria Math" w:cs="Arial"/>
              <w:lang w:eastAsia="ja-JP"/>
            </w:rPr>
            <m:t>(</m:t>
          </m:r>
          <m:d>
            <m:dPr>
              <m:begChr m:val="|"/>
              <m:endChr m:val="|"/>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cs="Arial"/>
                      <w:lang w:eastAsia="ja-JP"/>
                    </w:rPr>
                    <m:t>Δ</m:t>
                  </m:r>
                </m:e>
                <m:sub>
                  <m:r>
                    <m:rPr>
                      <m:sty m:val="bi"/>
                    </m:rPr>
                    <w:rPr>
                      <w:rFonts w:ascii="Cambria Math" w:cs="Arial"/>
                      <w:lang w:eastAsia="ja-JP"/>
                    </w:rPr>
                    <m:t>tone</m:t>
                  </m:r>
                </m:sub>
              </m:sSub>
            </m:e>
          </m:d>
          <m:r>
            <m:rPr>
              <m:sty m:val="bi"/>
            </m:rPr>
            <w:rPr>
              <w:rFonts w:ascii="Cambria Math" w:cs="Arial"/>
              <w:lang w:eastAsia="ja-JP"/>
            </w:rPr>
            <m:t>-</m:t>
          </m:r>
          <m:r>
            <m:rPr>
              <m:sty m:val="bi"/>
            </m:rPr>
            <w:rPr>
              <w:rFonts w:ascii="Cambria Math" w:cs="Arial"/>
              <w:lang w:eastAsia="ja-JP"/>
            </w:rPr>
            <m:t>1)/</m:t>
          </m:r>
          <m:sSub>
            <m:sSubPr>
              <m:ctrlPr>
                <w:rPr>
                  <w:rFonts w:ascii="Cambria Math" w:hAnsi="Cambria Math" w:cs="Arial"/>
                  <w:b/>
                  <w:bCs/>
                  <w:i/>
                  <w:lang w:eastAsia="ja-JP"/>
                </w:rPr>
              </m:ctrlPr>
            </m:sSubPr>
            <m:e>
              <m:r>
                <m:rPr>
                  <m:sty m:val="bi"/>
                </m:rPr>
                <w:rPr>
                  <w:rFonts w:ascii="Cambria Math" w:cs="Arial"/>
                  <w:lang w:eastAsia="ja-JP"/>
                </w:rPr>
                <m:t>L</m:t>
              </m:r>
            </m:e>
            <m:sub>
              <m:r>
                <m:rPr>
                  <m:sty m:val="bi"/>
                </m:rPr>
                <w:rPr>
                  <w:rFonts w:ascii="Cambria Math" w:cs="Arial"/>
                  <w:lang w:eastAsia="ja-JP"/>
                </w:rPr>
                <m:t>Ctone</m:t>
              </m:r>
            </m:sub>
          </m:sSub>
          <m:r>
            <m:rPr>
              <m:sty m:val="bi"/>
            </m:rPr>
            <w:rPr>
              <w:rFonts w:ascii="Cambria Math" w:hAnsi="Cambria Math" w:cs="Arial"/>
              <w:lang w:eastAsia="ja-JP"/>
            </w:rPr>
            <m:t>.</m:t>
          </m:r>
        </m:oMath>
      </m:oMathPara>
    </w:p>
    <w:p w14:paraId="25600C58" w14:textId="6B47CFF8" w:rsidR="0022209B" w:rsidRDefault="0022209B" w:rsidP="00E12F11">
      <w:r w:rsidRPr="002C1CBC">
        <w:lastRenderedPageBreak/>
        <w:t xml:space="preserve">Contribution </w:t>
      </w:r>
      <w:r w:rsidR="002455F7">
        <w:t>[4]</w:t>
      </w:r>
      <w:r w:rsidRPr="002C1CBC">
        <w:t xml:space="preserve"> also </w:t>
      </w:r>
      <w:r>
        <w:t>proposed modifying the first General formula of the IBE mask which defines the floor of the mask. The current formula is</w:t>
      </w:r>
    </w:p>
    <w:p w14:paraId="037C478F" w14:textId="5723E498" w:rsidR="0022209B" w:rsidRDefault="0022209B" w:rsidP="00E12F11">
      <m:oMathPara>
        <m:oMath>
          <m:r>
            <w:rPr>
              <w:rFonts w:ascii="Cambria Math" w:hAnsi="Cambria Math" w:cs="Arial"/>
              <w:color w:val="0070C0"/>
              <w:lang w:eastAsia="ja-JP"/>
            </w:rPr>
            <m:t>-15</m:t>
          </m:r>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e>
          </m:func>
          <m:r>
            <w:rPr>
              <w:rFonts w:ascii="Cambria Math" w:hAnsi="Cambria Math" w:cs="Arial"/>
              <w:lang w:eastAsia="ja-JP"/>
            </w:rPr>
            <m:t>.</m:t>
          </m:r>
        </m:oMath>
      </m:oMathPara>
    </w:p>
    <w:p w14:paraId="36435B95" w14:textId="28EEEBA0" w:rsidR="007F040C" w:rsidRPr="007F040C" w:rsidRDefault="0022209B" w:rsidP="00E12F11">
      <w:pPr>
        <w:rPr>
          <w:lang w:eastAsia="ja-JP"/>
        </w:rPr>
      </w:pPr>
      <w:r>
        <w:t xml:space="preserve">whereas </w:t>
      </w:r>
      <w:r w:rsidR="002455F7">
        <w:t>[4]</w:t>
      </w:r>
      <w:r>
        <w:t xml:space="preserve"> proposed</w:t>
      </w:r>
      <w:r w:rsidR="002C7ED9">
        <w:t xml:space="preserve"> for 16-QAM</w:t>
      </w:r>
      <w:r>
        <w:br/>
      </w:r>
      <m:oMathPara>
        <m:oMath>
          <m:r>
            <w:rPr>
              <w:rFonts w:ascii="Cambria Math" w:hAnsi="Cambria Math" w:cs="Arial"/>
              <w:color w:val="0070C0"/>
              <w:lang w:eastAsia="ja-JP"/>
            </w:rPr>
            <m:t>-18</m:t>
          </m:r>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e>
          </m:func>
          <m:r>
            <w:rPr>
              <w:rFonts w:ascii="Cambria Math" w:hAnsi="Cambria Math"/>
              <w:lang w:eastAsia="ja-JP"/>
            </w:rPr>
            <m:t>.</m:t>
          </m:r>
        </m:oMath>
      </m:oMathPara>
    </w:p>
    <w:p w14:paraId="6EAE2051" w14:textId="2D3680B4" w:rsidR="00AA43F2" w:rsidRDefault="0028248D" w:rsidP="00E12F11">
      <w:pPr>
        <w:rPr>
          <w:lang w:eastAsia="ja-JP"/>
        </w:rPr>
      </w:pPr>
      <w:r>
        <w:rPr>
          <w:lang w:eastAsia="ja-JP"/>
        </w:rPr>
        <w:t>A</w:t>
      </w:r>
      <w:r w:rsidR="00CC1C99">
        <w:rPr>
          <w:lang w:eastAsia="ja-JP"/>
        </w:rPr>
        <w:t>lso</w:t>
      </w:r>
      <w:r w:rsidR="00FE13FB">
        <w:rPr>
          <w:lang w:eastAsia="ja-JP"/>
        </w:rPr>
        <w:t>,</w:t>
      </w:r>
      <w:r w:rsidR="00CC1C99">
        <w:rPr>
          <w:lang w:eastAsia="ja-JP"/>
        </w:rPr>
        <w:t xml:space="preserve"> </w:t>
      </w:r>
      <w:r>
        <w:rPr>
          <w:lang w:eastAsia="ja-JP"/>
        </w:rPr>
        <w:t xml:space="preserve">this </w:t>
      </w:r>
      <w:r w:rsidR="007C0883">
        <w:rPr>
          <w:lang w:eastAsia="ja-JP"/>
        </w:rPr>
        <w:t xml:space="preserve">change </w:t>
      </w:r>
      <w:r w:rsidR="00033D10">
        <w:rPr>
          <w:lang w:eastAsia="ja-JP"/>
        </w:rPr>
        <w:t>is related to the different target RX SNRs of modulations.</w:t>
      </w:r>
    </w:p>
    <w:p w14:paraId="53D36EAE" w14:textId="401462DD" w:rsidR="0022209B" w:rsidRPr="002C1CBC" w:rsidRDefault="00AA43F2" w:rsidP="00E12F11">
      <w:pPr>
        <w:rPr>
          <w:lang w:eastAsia="ja-JP"/>
        </w:rPr>
      </w:pPr>
      <w:r>
        <w:t xml:space="preserve">Again, the </w:t>
      </w:r>
      <w:r w:rsidR="0022209B">
        <w:t xml:space="preserve">change should not affect the legacy modulations, pi/2-BPSK and QPSK. Conveniently, </w:t>
      </w:r>
      <m:oMath>
        <m:r>
          <w:rPr>
            <w:rFonts w:ascii="Cambria Math" w:cs="Arial"/>
            <w:lang w:eastAsia="ja-JP"/>
          </w:rPr>
          <m:t xml:space="preserve">20 </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cs="Arial"/>
                    <w:lang w:eastAsia="ja-JP"/>
                  </w:rPr>
                  <m:t>log</m:t>
                </m:r>
              </m:e>
              <m:sub>
                <m:r>
                  <w:rPr>
                    <w:rFonts w:ascii="Cambria Math" w:cs="Arial"/>
                    <w:lang w:eastAsia="ja-JP"/>
                  </w:rPr>
                  <m:t>10</m:t>
                </m:r>
              </m:sub>
            </m:sSub>
          </m:fName>
          <m:e>
            <m:r>
              <w:rPr>
                <w:rFonts w:ascii="Cambria Math" w:cs="Arial"/>
                <w:lang w:eastAsia="ja-JP"/>
              </w:rPr>
              <m:t>EVM</m:t>
            </m:r>
          </m:e>
        </m:func>
      </m:oMath>
      <w:r w:rsidR="00DB460B">
        <w:t xml:space="preserve"> approximately equals </w:t>
      </w:r>
      <m:oMath>
        <m:r>
          <w:rPr>
            <w:rFonts w:ascii="Cambria Math" w:hAnsi="Cambria Math" w:cs="Arial"/>
            <w:lang w:eastAsia="ja-JP"/>
          </w:rPr>
          <m:t>-15</m:t>
        </m:r>
      </m:oMath>
      <w:r w:rsidR="00DB460B" w:rsidRPr="0044664E">
        <w:rPr>
          <w:lang w:eastAsia="ja-JP"/>
        </w:rPr>
        <w:t xml:space="preserve"> for </w:t>
      </w:r>
      <w:r w:rsidR="00DB460B" w:rsidRPr="00310F86">
        <w:t xml:space="preserve">pi/2-BPSK and QPSK and </w:t>
      </w:r>
      <m:oMath>
        <m:r>
          <w:rPr>
            <w:rFonts w:ascii="Cambria Math" w:hAnsi="Cambria Math" w:cs="Arial"/>
            <w:lang w:eastAsia="ja-JP"/>
          </w:rPr>
          <m:t>-18</m:t>
        </m:r>
      </m:oMath>
      <w:r w:rsidR="00DB460B" w:rsidRPr="0044664E">
        <w:rPr>
          <w:lang w:eastAsia="ja-JP"/>
        </w:rPr>
        <w:t xml:space="preserve"> for 16-QAM. Hence, we can obtain the stricter floor for 16-QAM without affecting pi/2-BPSK and QPSK by defining the first General formula as</w:t>
      </w:r>
    </w:p>
    <w:p w14:paraId="411C25C2" w14:textId="67BB9F64" w:rsidR="00DB460B" w:rsidRPr="002C1CBC" w:rsidRDefault="00DB460B" w:rsidP="00E12F11">
      <m:oMathPara>
        <m:oMath>
          <m:r>
            <w:rPr>
              <w:rFonts w:ascii="Cambria Math" w:hAnsi="Cambria Math" w:cs="Arial"/>
              <w:lang w:eastAsia="ja-JP"/>
            </w:rPr>
            <m:t>20∙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r>
                <w:rPr>
                  <w:rFonts w:ascii="Cambria Math" w:hAnsi="Cambria Math" w:cs="Arial"/>
                  <w:lang w:eastAsia="ja-JP"/>
                </w:rPr>
                <m:t>EVM</m:t>
              </m:r>
            </m:e>
          </m:func>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e>
          </m:func>
          <m:r>
            <w:rPr>
              <w:rFonts w:ascii="Cambria Math" w:hAnsi="Cambria Math"/>
              <w:lang w:eastAsia="ja-JP"/>
            </w:rPr>
            <m:t>.</m:t>
          </m:r>
        </m:oMath>
      </m:oMathPara>
    </w:p>
    <w:p w14:paraId="74178854" w14:textId="1D798DED" w:rsidR="00096508" w:rsidRDefault="00096508" w:rsidP="00E12F11">
      <w:pPr>
        <w:rPr>
          <w:b/>
          <w:bCs/>
        </w:rPr>
      </w:pPr>
      <w:r w:rsidRPr="006112E5">
        <w:rPr>
          <w:b/>
          <w:bCs/>
        </w:rPr>
        <w:t>Proposal</w:t>
      </w:r>
      <w:r w:rsidR="00523873">
        <w:rPr>
          <w:b/>
          <w:bCs/>
        </w:rPr>
        <w:t xml:space="preserve"> </w:t>
      </w:r>
      <w:r w:rsidR="00C25F2D">
        <w:rPr>
          <w:b/>
          <w:bCs/>
        </w:rPr>
        <w:t>3</w:t>
      </w:r>
      <w:r w:rsidRPr="006112E5">
        <w:rPr>
          <w:b/>
          <w:bCs/>
        </w:rPr>
        <w:t xml:space="preserve">: </w:t>
      </w:r>
      <w:r w:rsidR="00785B21">
        <w:rPr>
          <w:b/>
          <w:bCs/>
        </w:rPr>
        <w:t>Define</w:t>
      </w:r>
      <w:r w:rsidR="001C7A85">
        <w:rPr>
          <w:b/>
          <w:bCs/>
        </w:rPr>
        <w:t xml:space="preserve"> </w:t>
      </w:r>
      <w:r w:rsidR="00EB628A">
        <w:rPr>
          <w:b/>
          <w:bCs/>
        </w:rPr>
        <w:t xml:space="preserve">the </w:t>
      </w:r>
      <w:r w:rsidR="001C7A85">
        <w:rPr>
          <w:b/>
          <w:bCs/>
        </w:rPr>
        <w:t xml:space="preserve">first General formula of </w:t>
      </w:r>
      <w:r w:rsidRPr="006112E5">
        <w:rPr>
          <w:b/>
          <w:bCs/>
        </w:rPr>
        <w:t>NB-IoT IBE mask</w:t>
      </w:r>
      <w:r w:rsidR="00785B21">
        <w:rPr>
          <w:b/>
          <w:bCs/>
        </w:rPr>
        <w:t xml:space="preserve"> as</w:t>
      </w:r>
    </w:p>
    <w:p w14:paraId="61B63BD9" w14:textId="587762F6" w:rsidR="00785B21" w:rsidRPr="00886E5C" w:rsidRDefault="00785B21" w:rsidP="00785B21">
      <w:pPr>
        <w:rPr>
          <w:b/>
          <w:bCs/>
          <w:lang w:eastAsia="ja-JP"/>
        </w:rPr>
      </w:pPr>
      <m:oMathPara>
        <m:oMath>
          <m:r>
            <m:rPr>
              <m:sty m:val="bi"/>
            </m:rPr>
            <w:rPr>
              <w:rFonts w:ascii="Cambria Math" w:hAnsi="Cambria Math" w:cs="Arial"/>
              <w:lang w:eastAsia="ja-JP"/>
            </w:rPr>
            <m:t>20∙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r>
                <m:rPr>
                  <m:sty m:val="bi"/>
                </m:rPr>
                <w:rPr>
                  <w:rFonts w:ascii="Cambria Math" w:hAnsi="Cambria Math" w:cs="Arial"/>
                  <w:lang w:eastAsia="ja-JP"/>
                </w:rPr>
                <m:t>EVM</m:t>
              </m:r>
            </m:e>
          </m:func>
          <m:r>
            <m:rPr>
              <m:sty m:val="bi"/>
            </m:rPr>
            <w:rPr>
              <w:rFonts w:ascii="Cambria Math" w:hAnsi="Cambria Math" w:cs="Arial"/>
              <w:lang w:eastAsia="ja-JP"/>
            </w:rPr>
            <m:t>-10∙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d>
                <m:dPr>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hAnsi="Cambria Math" w:cs="Arial"/>
                          <w:lang w:eastAsia="ja-JP"/>
                        </w:rPr>
                        <m:t>N</m:t>
                      </m:r>
                    </m:e>
                    <m:sub>
                      <m:r>
                        <m:rPr>
                          <m:sty m:val="bi"/>
                        </m:rPr>
                        <w:rPr>
                          <w:rFonts w:ascii="Cambria Math" w:hAnsi="Cambria Math" w:cs="Arial"/>
                          <w:lang w:eastAsia="ja-JP"/>
                        </w:rPr>
                        <m:t>tone</m:t>
                      </m:r>
                    </m:sub>
                  </m:sSub>
                  <m:r>
                    <m:rPr>
                      <m:sty m:val="bi"/>
                    </m:rPr>
                    <w:rPr>
                      <w:rFonts w:ascii="Cambria Math" w:hAnsi="Cambria Math" w:cs="Arial"/>
                      <w:lang w:eastAsia="ja-JP"/>
                    </w:rPr>
                    <m:t>/</m:t>
                  </m:r>
                  <m:sSub>
                    <m:sSubPr>
                      <m:ctrlPr>
                        <w:rPr>
                          <w:rFonts w:ascii="Cambria Math" w:hAnsi="Cambria Math" w:cs="Arial"/>
                          <w:b/>
                          <w:bCs/>
                          <w:i/>
                          <w:lang w:eastAsia="ja-JP"/>
                        </w:rPr>
                      </m:ctrlPr>
                    </m:sSubPr>
                    <m:e>
                      <m:r>
                        <m:rPr>
                          <m:sty m:val="bi"/>
                        </m:rPr>
                        <w:rPr>
                          <w:rFonts w:ascii="Cambria Math" w:hAnsi="Cambria Math" w:cs="Arial"/>
                          <w:lang w:eastAsia="ja-JP"/>
                        </w:rPr>
                        <m:t>L</m:t>
                      </m:r>
                    </m:e>
                    <m:sub>
                      <m:r>
                        <m:rPr>
                          <m:sty m:val="bi"/>
                        </m:rPr>
                        <w:rPr>
                          <w:rFonts w:ascii="Cambria Math" w:hAnsi="Cambria Math" w:cs="Arial"/>
                          <w:lang w:eastAsia="ja-JP"/>
                        </w:rPr>
                        <m:t>Ctone</m:t>
                      </m:r>
                    </m:sub>
                  </m:sSub>
                </m:e>
              </m:d>
            </m:e>
          </m:func>
          <m:r>
            <m:rPr>
              <m:sty m:val="bi"/>
            </m:rPr>
            <w:rPr>
              <w:rFonts w:ascii="Cambria Math" w:hAnsi="Cambria Math"/>
              <w:lang w:eastAsia="ja-JP"/>
            </w:rPr>
            <m:t>.</m:t>
          </m:r>
        </m:oMath>
      </m:oMathPara>
    </w:p>
    <w:p w14:paraId="771C6D4D" w14:textId="3F9E1CB8" w:rsidR="00886E5C" w:rsidRDefault="00886E5C" w:rsidP="00785B21">
      <w:r>
        <w:t>Our CR [5] requests the changes of both Proposal 1 and Proposal 2.</w:t>
      </w:r>
    </w:p>
    <w:p w14:paraId="2FC0A113" w14:textId="7B7EEDC5" w:rsidR="006B44A4" w:rsidRPr="00886E5C" w:rsidRDefault="006B44A4" w:rsidP="00785B21">
      <w:r>
        <w:t>Finally</w:t>
      </w:r>
      <w:r w:rsidR="00B75FAF">
        <w:t>,</w:t>
      </w:r>
      <w:r>
        <w:t xml:space="preserve"> we repeat our EVM limit proposal.</w:t>
      </w:r>
    </w:p>
    <w:p w14:paraId="283D85C2" w14:textId="5B467F2F" w:rsidR="00060E5B" w:rsidRDefault="00060E5B" w:rsidP="00E12F11">
      <w:pPr>
        <w:rPr>
          <w:b/>
          <w:bCs/>
        </w:rPr>
      </w:pPr>
      <w:r>
        <w:rPr>
          <w:b/>
          <w:bCs/>
        </w:rPr>
        <w:t>Proposal</w:t>
      </w:r>
      <w:r w:rsidR="00523873">
        <w:rPr>
          <w:b/>
          <w:bCs/>
        </w:rPr>
        <w:t xml:space="preserve"> </w:t>
      </w:r>
      <w:r w:rsidR="00C25F2D">
        <w:rPr>
          <w:b/>
          <w:bCs/>
        </w:rPr>
        <w:t>4</w:t>
      </w:r>
      <w:r>
        <w:rPr>
          <w:b/>
          <w:bCs/>
        </w:rPr>
        <w:t>: For NB-IoT UL with 16-QAM modulation, use the EVM limit of 12.5 %.</w:t>
      </w:r>
    </w:p>
    <w:p w14:paraId="1835A95B" w14:textId="34F37A22" w:rsidR="002B0E5A" w:rsidRDefault="002B0E5A" w:rsidP="00E12F11">
      <w:r w:rsidRPr="00F640EF">
        <w:t>Th</w:t>
      </w:r>
      <w:r>
        <w:t xml:space="preserve">is EVM limit requires </w:t>
      </w:r>
      <w:r w:rsidR="00910651">
        <w:t xml:space="preserve">no </w:t>
      </w:r>
      <w:r w:rsidR="004011B8">
        <w:t xml:space="preserve">change request </w:t>
      </w:r>
      <w:r>
        <w:t xml:space="preserve">since this value is already given in TS 36.101, </w:t>
      </w:r>
      <w:r w:rsidRPr="00D33AF2">
        <w:t>Table 6.5.2.1.1-1</w:t>
      </w:r>
      <w:r>
        <w:t>.</w:t>
      </w:r>
    </w:p>
    <w:p w14:paraId="49AC1827" w14:textId="77777777" w:rsidR="00283EE2" w:rsidRDefault="00283EE2" w:rsidP="00E12F11"/>
    <w:p w14:paraId="4A825BCB" w14:textId="3EF04676" w:rsidR="000A6A9A" w:rsidRDefault="000A6A9A" w:rsidP="000A6A9A">
      <w:pPr>
        <w:pStyle w:val="Heading2"/>
      </w:pPr>
      <w:r>
        <w:t>2.1</w:t>
      </w:r>
      <w:r>
        <w:tab/>
      </w:r>
      <w:r w:rsidR="00CC1755">
        <w:t>Simulation assumptions</w:t>
      </w:r>
    </w:p>
    <w:p w14:paraId="06085E2E" w14:textId="0D1EC845" w:rsidR="000A6A9A" w:rsidRDefault="009A3EEF" w:rsidP="006E0C92">
      <w:pPr>
        <w:pStyle w:val="ListParagraph"/>
        <w:keepNext/>
        <w:numPr>
          <w:ilvl w:val="0"/>
          <w:numId w:val="8"/>
        </w:numPr>
        <w:ind w:left="714" w:hanging="357"/>
      </w:pPr>
      <w:r>
        <w:t xml:space="preserve">PA model based on </w:t>
      </w:r>
      <w:r w:rsidR="005C3074">
        <w:t xml:space="preserve">a </w:t>
      </w:r>
      <w:r>
        <w:t>m</w:t>
      </w:r>
      <w:r w:rsidR="006A7BD4">
        <w:t>easur</w:t>
      </w:r>
      <w:r w:rsidR="00D97874">
        <w:t xml:space="preserve">ed </w:t>
      </w:r>
      <w:r>
        <w:t xml:space="preserve">CMOS </w:t>
      </w:r>
      <w:r w:rsidR="00EF017F">
        <w:t>PA</w:t>
      </w:r>
      <w:r w:rsidR="003D6590">
        <w:t xml:space="preserve">, calibrated so that </w:t>
      </w:r>
      <w:r w:rsidR="008A4D13">
        <w:t xml:space="preserve">specified MPR </w:t>
      </w:r>
      <w:r w:rsidR="0069283A">
        <w:t xml:space="preserve">barely </w:t>
      </w:r>
      <w:r w:rsidR="008A4D13">
        <w:t xml:space="preserve">suffices for all </w:t>
      </w:r>
      <w:r w:rsidR="002F1ECC">
        <w:t xml:space="preserve">valid </w:t>
      </w:r>
      <w:r w:rsidR="0048725C">
        <w:t xml:space="preserve">allocations with </w:t>
      </w:r>
      <w:r w:rsidR="008A4D13">
        <w:t>pi/2-BPSK and QPSK</w:t>
      </w:r>
      <w:r w:rsidR="007164CB">
        <w:t>.</w:t>
      </w:r>
    </w:p>
    <w:p w14:paraId="1F5778F3" w14:textId="2CBD4A57" w:rsidR="00261205" w:rsidRDefault="00261205" w:rsidP="006E0C92">
      <w:pPr>
        <w:pStyle w:val="ListParagraph"/>
        <w:keepNext/>
        <w:numPr>
          <w:ilvl w:val="0"/>
          <w:numId w:val="8"/>
        </w:numPr>
        <w:ind w:left="714" w:hanging="357"/>
      </w:pPr>
      <w:r>
        <w:t>I/Q image: -25 dBc</w:t>
      </w:r>
    </w:p>
    <w:p w14:paraId="74D9C897" w14:textId="6E4D3EEA" w:rsidR="00261205" w:rsidRDefault="00261205" w:rsidP="006E0C92">
      <w:pPr>
        <w:pStyle w:val="ListParagraph"/>
        <w:keepNext/>
        <w:numPr>
          <w:ilvl w:val="0"/>
          <w:numId w:val="8"/>
        </w:numPr>
        <w:ind w:left="714" w:hanging="357"/>
      </w:pPr>
      <w:r>
        <w:t>Carrier leakage: -25 dBc</w:t>
      </w:r>
    </w:p>
    <w:p w14:paraId="2473763E" w14:textId="61A445E6" w:rsidR="00261205" w:rsidRDefault="00261205" w:rsidP="006E0C92">
      <w:pPr>
        <w:pStyle w:val="ListParagraph"/>
        <w:keepNext/>
        <w:numPr>
          <w:ilvl w:val="0"/>
          <w:numId w:val="8"/>
        </w:numPr>
        <w:ind w:left="714" w:hanging="357"/>
      </w:pPr>
      <w:r>
        <w:t>CIM3: -60 dBc</w:t>
      </w:r>
    </w:p>
    <w:p w14:paraId="761A7CFE" w14:textId="64DDA10A" w:rsidR="00261205" w:rsidRDefault="00261205" w:rsidP="006E0C92">
      <w:pPr>
        <w:pStyle w:val="ListParagraph"/>
        <w:keepNext/>
        <w:numPr>
          <w:ilvl w:val="0"/>
          <w:numId w:val="8"/>
        </w:numPr>
        <w:ind w:left="714" w:hanging="357"/>
      </w:pPr>
      <w:r>
        <w:t>ACLR</w:t>
      </w:r>
      <w:r w:rsidR="00724817">
        <w:t xml:space="preserve">, </w:t>
      </w:r>
      <w:r>
        <w:t>SEM</w:t>
      </w:r>
      <w:r w:rsidR="00724817">
        <w:t xml:space="preserve">, and spurious emissions </w:t>
      </w:r>
      <w:r>
        <w:t>according to TS 36.101</w:t>
      </w:r>
    </w:p>
    <w:p w14:paraId="3E8CC1D9" w14:textId="7BA13700" w:rsidR="00261205" w:rsidRPr="00C25F2D" w:rsidRDefault="00261205" w:rsidP="006E0C92">
      <w:pPr>
        <w:pStyle w:val="ListParagraph"/>
        <w:keepNext/>
        <w:numPr>
          <w:ilvl w:val="0"/>
          <w:numId w:val="8"/>
        </w:numPr>
        <w:ind w:left="714" w:hanging="357"/>
      </w:pPr>
      <w:r w:rsidRPr="006003E1">
        <w:t xml:space="preserve">EVM </w:t>
      </w:r>
      <w:r w:rsidR="002D7C03" w:rsidRPr="006003E1">
        <w:t>limit</w:t>
      </w:r>
      <w:r w:rsidR="00965121" w:rsidRPr="002A4713">
        <w:t xml:space="preserve"> for </w:t>
      </w:r>
      <w:r w:rsidR="00965121" w:rsidRPr="0057015B">
        <w:t>16-QAM</w:t>
      </w:r>
      <w:r w:rsidR="002D7C03" w:rsidRPr="0057015B">
        <w:t xml:space="preserve">: </w:t>
      </w:r>
      <w:r w:rsidR="00A0020B" w:rsidRPr="0057015B">
        <w:t xml:space="preserve">12.5 % </w:t>
      </w:r>
    </w:p>
    <w:p w14:paraId="0BEBB7F3" w14:textId="34E3128E" w:rsidR="007A0FF8" w:rsidRPr="0044664E" w:rsidRDefault="007A0FF8" w:rsidP="00702BCE">
      <w:pPr>
        <w:pStyle w:val="ListParagraph"/>
        <w:numPr>
          <w:ilvl w:val="0"/>
          <w:numId w:val="8"/>
        </w:numPr>
      </w:pPr>
      <w:r w:rsidRPr="0044664E">
        <w:t xml:space="preserve">Two alternative tentative </w:t>
      </w:r>
      <w:r w:rsidR="00FF3BDB" w:rsidRPr="0044664E">
        <w:t>IBE</w:t>
      </w:r>
      <w:r w:rsidR="005E4F9A" w:rsidRPr="0044664E">
        <w:t xml:space="preserve"> </w:t>
      </w:r>
      <w:r w:rsidR="00E47A42">
        <w:t>masks</w:t>
      </w:r>
      <w:r w:rsidRPr="0044664E">
        <w:t>:</w:t>
      </w:r>
    </w:p>
    <w:p w14:paraId="52A1BACC" w14:textId="7BF177BC" w:rsidR="00D37D11" w:rsidRPr="0044664E" w:rsidRDefault="00272469" w:rsidP="007A0FF8">
      <w:pPr>
        <w:pStyle w:val="ListParagraph"/>
        <w:numPr>
          <w:ilvl w:val="1"/>
          <w:numId w:val="8"/>
        </w:numPr>
      </w:pPr>
      <w:r w:rsidRPr="0044664E">
        <w:t xml:space="preserve">Case A; </w:t>
      </w:r>
      <w:r w:rsidR="007A0FF8" w:rsidRPr="0044664E">
        <w:t>First General formula acc</w:t>
      </w:r>
      <w:r w:rsidR="00025C39" w:rsidRPr="0044664E">
        <w:t>o</w:t>
      </w:r>
      <w:r w:rsidR="007A0FF8" w:rsidRPr="0044664E">
        <w:t>rding to current specification,</w:t>
      </w:r>
      <w:r w:rsidR="006F076C" w:rsidRPr="0044664E">
        <w:br/>
        <w:t>s</w:t>
      </w:r>
      <w:r w:rsidR="007A0FF8" w:rsidRPr="0044664E">
        <w:t xml:space="preserve">econd General formula according to Proposal </w:t>
      </w:r>
      <w:r w:rsidR="00157DE1" w:rsidRPr="0044664E">
        <w:t>1</w:t>
      </w:r>
    </w:p>
    <w:p w14:paraId="0837D975" w14:textId="00E058F3" w:rsidR="007A0FF8" w:rsidRPr="0044664E" w:rsidRDefault="00D81935" w:rsidP="002C1CBC">
      <w:pPr>
        <w:pStyle w:val="ListParagraph"/>
        <w:numPr>
          <w:ilvl w:val="1"/>
          <w:numId w:val="8"/>
        </w:numPr>
      </w:pPr>
      <w:r w:rsidRPr="0044664E">
        <w:t>C</w:t>
      </w:r>
      <w:r w:rsidR="00272469" w:rsidRPr="0044664E">
        <w:t xml:space="preserve">ase B: </w:t>
      </w:r>
      <w:r w:rsidR="007A0FF8" w:rsidRPr="0044664E">
        <w:t>First General formula acc</w:t>
      </w:r>
      <w:r w:rsidR="00025C39" w:rsidRPr="0044664E">
        <w:t>o</w:t>
      </w:r>
      <w:r w:rsidR="007A0FF8" w:rsidRPr="0044664E">
        <w:t xml:space="preserve">rding to Proposal </w:t>
      </w:r>
      <w:r w:rsidR="00157DE1" w:rsidRPr="0044664E">
        <w:t>2</w:t>
      </w:r>
      <w:r w:rsidR="007A0FF8" w:rsidRPr="0044664E">
        <w:t>,</w:t>
      </w:r>
      <w:r w:rsidR="006F076C" w:rsidRPr="0044664E">
        <w:br/>
        <w:t>s</w:t>
      </w:r>
      <w:r w:rsidR="007A0FF8" w:rsidRPr="0044664E">
        <w:t xml:space="preserve">econd General formula according to Proposal </w:t>
      </w:r>
      <w:r w:rsidR="00157DE1" w:rsidRPr="0044664E">
        <w:t>1</w:t>
      </w:r>
    </w:p>
    <w:p w14:paraId="08412C3C" w14:textId="24A0B7CB" w:rsidR="00AB3BC3" w:rsidRDefault="00AB3BC3" w:rsidP="00702BCE">
      <w:pPr>
        <w:pStyle w:val="ListParagraph"/>
        <w:numPr>
          <w:ilvl w:val="0"/>
          <w:numId w:val="8"/>
        </w:numPr>
      </w:pPr>
      <w:r>
        <w:t xml:space="preserve">Occupied bandwidth </w:t>
      </w:r>
      <w:r w:rsidR="00D779D6">
        <w:t xml:space="preserve">(OBW) </w:t>
      </w:r>
      <w:r>
        <w:t>according to TS 36.101</w:t>
      </w:r>
    </w:p>
    <w:p w14:paraId="65F0A6A6" w14:textId="2ED7EEC5" w:rsidR="00020F23" w:rsidRDefault="000A6A9A" w:rsidP="000A6A9A">
      <w:pPr>
        <w:pStyle w:val="Heading2"/>
      </w:pPr>
      <w:r>
        <w:t>2.2</w:t>
      </w:r>
      <w:r>
        <w:tab/>
      </w:r>
      <w:r w:rsidR="00250523">
        <w:t>Simulation results</w:t>
      </w:r>
    </w:p>
    <w:p w14:paraId="6E288E33" w14:textId="389DFD14" w:rsidR="007A0FF8" w:rsidRDefault="00B62FB6" w:rsidP="00D733F3">
      <w:bookmarkStart w:id="2" w:name="_Hlk21099258"/>
      <w:r>
        <w:t>T</w:t>
      </w:r>
      <w:r w:rsidR="001C0D2D">
        <w:t>able</w:t>
      </w:r>
      <w:r w:rsidR="00256683">
        <w:t>s</w:t>
      </w:r>
      <w:r w:rsidR="001C0D2D">
        <w:t xml:space="preserve"> 1</w:t>
      </w:r>
      <w:r w:rsidR="00762727">
        <w:sym w:font="Symbol" w:char="F02D"/>
      </w:r>
      <w:r w:rsidR="00762727">
        <w:t>3</w:t>
      </w:r>
      <w:r w:rsidR="00414336">
        <w:t xml:space="preserve"> </w:t>
      </w:r>
      <w:r w:rsidR="001C0D2D">
        <w:t>present</w:t>
      </w:r>
      <w:r w:rsidR="00414336">
        <w:t xml:space="preserve"> </w:t>
      </w:r>
      <w:r w:rsidR="001C0D2D">
        <w:t>t</w:t>
      </w:r>
      <w:r>
        <w:t xml:space="preserve">he simulation results for </w:t>
      </w:r>
      <w:r w:rsidR="00693ECA">
        <w:t>power class</w:t>
      </w:r>
      <w:r w:rsidR="001C0D2D">
        <w:t xml:space="preserve"> 3</w:t>
      </w:r>
      <w:r w:rsidR="00762727">
        <w:t xml:space="preserve">, </w:t>
      </w:r>
      <w:r w:rsidR="00414336">
        <w:t>5</w:t>
      </w:r>
      <w:r w:rsidR="00762727">
        <w:t>, and 6</w:t>
      </w:r>
      <w:r w:rsidR="00414336">
        <w:t>, respectively</w:t>
      </w:r>
      <w:r>
        <w:t>.</w:t>
      </w:r>
      <w:r w:rsidR="007A0FF8">
        <w:t xml:space="preserve"> </w:t>
      </w:r>
    </w:p>
    <w:p w14:paraId="5845DFE5" w14:textId="5F485C28" w:rsidR="00B813D6" w:rsidRDefault="00B62FB6" w:rsidP="00D733F3">
      <w:r>
        <w:t xml:space="preserve">All resource allocations are gated </w:t>
      </w:r>
      <w:r w:rsidR="009F1351">
        <w:t xml:space="preserve">either </w:t>
      </w:r>
      <w:r>
        <w:t>by EVM</w:t>
      </w:r>
      <w:r w:rsidR="007A0FF8">
        <w:t xml:space="preserve">, </w:t>
      </w:r>
      <w:r w:rsidR="009F1351">
        <w:t>IBE</w:t>
      </w:r>
      <w:r w:rsidR="007A0FF8">
        <w:t>, or OBW</w:t>
      </w:r>
      <w:r>
        <w:t>.</w:t>
      </w:r>
      <w:r w:rsidR="005508EA">
        <w:t xml:space="preserve"> However, when Proposal </w:t>
      </w:r>
      <w:r w:rsidR="00607FD7">
        <w:t>3</w:t>
      </w:r>
      <w:r w:rsidR="005508EA">
        <w:t xml:space="preserve"> (stricter first General IBE formula) is applied, IBE supersedes EVM as gating factor.</w:t>
      </w:r>
    </w:p>
    <w:bookmarkEnd w:id="2"/>
    <w:p w14:paraId="792D90DD" w14:textId="3338CCDF" w:rsidR="00B07BE3" w:rsidRDefault="00B07BE3" w:rsidP="00D733F3"/>
    <w:p w14:paraId="25185A2F" w14:textId="5CD59827" w:rsidR="00723E1B" w:rsidRDefault="00723E1B" w:rsidP="002C1CBC">
      <w:pPr>
        <w:keepNext/>
        <w:jc w:val="center"/>
      </w:pPr>
      <w:r>
        <w:lastRenderedPageBreak/>
        <w:t>Table 1: Simulated MPR for 16-QAM in Power Class 3</w:t>
      </w:r>
    </w:p>
    <w:tbl>
      <w:tblPr>
        <w:tblW w:w="6720" w:type="dxa"/>
        <w:jc w:val="center"/>
        <w:tblLook w:val="04A0" w:firstRow="1" w:lastRow="0" w:firstColumn="1" w:lastColumn="0" w:noHBand="0" w:noVBand="1"/>
      </w:tblPr>
      <w:tblGrid>
        <w:gridCol w:w="952"/>
        <w:gridCol w:w="1195"/>
        <w:gridCol w:w="1003"/>
        <w:gridCol w:w="952"/>
        <w:gridCol w:w="949"/>
        <w:gridCol w:w="952"/>
        <w:gridCol w:w="949"/>
      </w:tblGrid>
      <w:tr w:rsidR="00723E1B" w:rsidRPr="00723E1B" w14:paraId="5BA040AC" w14:textId="77777777" w:rsidTr="002C1CBC">
        <w:trPr>
          <w:cantSplit/>
          <w:trHeight w:val="615"/>
          <w:jc w:val="center"/>
        </w:trPr>
        <w:tc>
          <w:tcPr>
            <w:tcW w:w="9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FCD6C7" w14:textId="77777777" w:rsidR="00723E1B" w:rsidRPr="002C1CBC" w:rsidRDefault="00723E1B"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Tone</w:t>
            </w:r>
            <w:r w:rsidRPr="002C1CBC">
              <w:rPr>
                <w:rFonts w:asciiTheme="minorHAnsi" w:hAnsiTheme="minorHAnsi"/>
                <w:b/>
                <w:bCs/>
                <w:color w:val="000000"/>
                <w:lang w:eastAsia="en-GB"/>
              </w:rPr>
              <w:br/>
              <w:t>spacing</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87991" w14:textId="77777777" w:rsidR="00723E1B" w:rsidRPr="002C1CBC" w:rsidRDefault="00723E1B"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Modulation</w:t>
            </w:r>
          </w:p>
        </w:tc>
        <w:tc>
          <w:tcPr>
            <w:tcW w:w="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EC9176" w14:textId="77777777" w:rsidR="00723E1B" w:rsidRPr="002C1CBC" w:rsidRDefault="00723E1B"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Allocated</w:t>
            </w:r>
            <w:r w:rsidRPr="002C1CBC">
              <w:rPr>
                <w:rFonts w:asciiTheme="minorHAnsi" w:hAnsiTheme="minorHAnsi"/>
                <w:b/>
                <w:bCs/>
                <w:color w:val="000000"/>
                <w:lang w:eastAsia="en-GB"/>
              </w:rPr>
              <w:br/>
              <w:t>tones</w:t>
            </w:r>
          </w:p>
        </w:tc>
        <w:tc>
          <w:tcPr>
            <w:tcW w:w="1901" w:type="dxa"/>
            <w:gridSpan w:val="2"/>
            <w:tcBorders>
              <w:top w:val="single" w:sz="4" w:space="0" w:color="auto"/>
              <w:left w:val="nil"/>
              <w:bottom w:val="single" w:sz="4" w:space="0" w:color="auto"/>
              <w:right w:val="single" w:sz="4" w:space="0" w:color="auto"/>
            </w:tcBorders>
            <w:shd w:val="clear" w:color="auto" w:fill="auto"/>
            <w:vAlign w:val="bottom"/>
            <w:hideMark/>
          </w:tcPr>
          <w:p w14:paraId="5E9510EA" w14:textId="5A3F30C8" w:rsidR="00723E1B" w:rsidRPr="002C1CBC" w:rsidRDefault="00DB7FB9" w:rsidP="002C1CBC">
            <w:pPr>
              <w:keepNext/>
              <w:overflowPunct/>
              <w:autoSpaceDE/>
              <w:autoSpaceDN/>
              <w:adjustRightInd/>
              <w:spacing w:after="0"/>
              <w:jc w:val="center"/>
              <w:textAlignment w:val="auto"/>
              <w:rPr>
                <w:rFonts w:asciiTheme="minorHAnsi" w:hAnsiTheme="minorHAnsi"/>
                <w:b/>
                <w:bCs/>
                <w:color w:val="000000"/>
                <w:lang w:eastAsia="en-GB"/>
              </w:rPr>
            </w:pPr>
            <w:r>
              <w:rPr>
                <w:rFonts w:asciiTheme="minorHAnsi" w:hAnsiTheme="minorHAnsi"/>
                <w:b/>
                <w:bCs/>
                <w:color w:val="000000"/>
                <w:lang w:eastAsia="en-GB"/>
              </w:rPr>
              <w:t xml:space="preserve">A: </w:t>
            </w:r>
            <w:r w:rsidR="00723E1B" w:rsidRPr="002C1CBC">
              <w:rPr>
                <w:rFonts w:asciiTheme="minorHAnsi" w:hAnsiTheme="minorHAnsi"/>
                <w:b/>
                <w:bCs/>
                <w:color w:val="000000"/>
                <w:lang w:eastAsia="en-GB"/>
              </w:rPr>
              <w:t>Specified 1st General IBE formula</w:t>
            </w:r>
          </w:p>
        </w:tc>
        <w:tc>
          <w:tcPr>
            <w:tcW w:w="1901" w:type="dxa"/>
            <w:gridSpan w:val="2"/>
            <w:tcBorders>
              <w:top w:val="single" w:sz="4" w:space="0" w:color="auto"/>
              <w:left w:val="nil"/>
              <w:bottom w:val="single" w:sz="4" w:space="0" w:color="auto"/>
              <w:right w:val="single" w:sz="4" w:space="0" w:color="auto"/>
            </w:tcBorders>
            <w:shd w:val="clear" w:color="auto" w:fill="auto"/>
            <w:vAlign w:val="bottom"/>
            <w:hideMark/>
          </w:tcPr>
          <w:p w14:paraId="17B6D1ED" w14:textId="5024633E" w:rsidR="00723E1B" w:rsidRPr="002C1CBC" w:rsidRDefault="00DB7FB9" w:rsidP="002C1CBC">
            <w:pPr>
              <w:keepNext/>
              <w:overflowPunct/>
              <w:autoSpaceDE/>
              <w:autoSpaceDN/>
              <w:adjustRightInd/>
              <w:spacing w:after="0"/>
              <w:jc w:val="center"/>
              <w:textAlignment w:val="auto"/>
              <w:rPr>
                <w:rFonts w:asciiTheme="minorHAnsi" w:hAnsiTheme="minorHAnsi"/>
                <w:b/>
                <w:bCs/>
                <w:color w:val="000000"/>
                <w:lang w:eastAsia="en-GB"/>
              </w:rPr>
            </w:pPr>
            <w:r>
              <w:rPr>
                <w:rFonts w:asciiTheme="minorHAnsi" w:hAnsiTheme="minorHAnsi"/>
                <w:b/>
                <w:bCs/>
                <w:color w:val="000000"/>
                <w:lang w:eastAsia="en-GB"/>
              </w:rPr>
              <w:t xml:space="preserve">B: </w:t>
            </w:r>
            <w:r w:rsidR="00B74BF2">
              <w:rPr>
                <w:rFonts w:asciiTheme="minorHAnsi" w:hAnsiTheme="minorHAnsi"/>
                <w:b/>
                <w:bCs/>
                <w:color w:val="000000"/>
                <w:lang w:eastAsia="en-GB"/>
              </w:rPr>
              <w:t>Proposed</w:t>
            </w:r>
            <w:r w:rsidR="00B74BF2" w:rsidRPr="002C1CBC">
              <w:rPr>
                <w:rFonts w:asciiTheme="minorHAnsi" w:hAnsiTheme="minorHAnsi"/>
                <w:b/>
                <w:bCs/>
                <w:color w:val="000000"/>
                <w:lang w:eastAsia="en-GB"/>
              </w:rPr>
              <w:t xml:space="preserve"> </w:t>
            </w:r>
            <w:r w:rsidR="00723E1B" w:rsidRPr="002C1CBC">
              <w:rPr>
                <w:rFonts w:asciiTheme="minorHAnsi" w:hAnsiTheme="minorHAnsi"/>
                <w:b/>
                <w:bCs/>
                <w:color w:val="000000"/>
                <w:lang w:eastAsia="en-GB"/>
              </w:rPr>
              <w:t>1st General IBE formula</w:t>
            </w:r>
          </w:p>
        </w:tc>
      </w:tr>
      <w:tr w:rsidR="00723E1B" w:rsidRPr="00723E1B" w14:paraId="60CD6B0F" w14:textId="77777777" w:rsidTr="002C1CBC">
        <w:trPr>
          <w:cantSplit/>
          <w:trHeight w:val="300"/>
          <w:jc w:val="center"/>
        </w:trPr>
        <w:tc>
          <w:tcPr>
            <w:tcW w:w="952" w:type="dxa"/>
            <w:vMerge/>
            <w:tcBorders>
              <w:top w:val="single" w:sz="4" w:space="0" w:color="auto"/>
              <w:left w:val="single" w:sz="4" w:space="0" w:color="auto"/>
              <w:bottom w:val="single" w:sz="4" w:space="0" w:color="000000"/>
              <w:right w:val="single" w:sz="4" w:space="0" w:color="auto"/>
            </w:tcBorders>
            <w:vAlign w:val="center"/>
            <w:hideMark/>
          </w:tcPr>
          <w:p w14:paraId="2DDDDC94" w14:textId="77777777" w:rsidR="00723E1B" w:rsidRPr="002C1CBC" w:rsidRDefault="00723E1B" w:rsidP="002C1CBC">
            <w:pPr>
              <w:keepNext/>
              <w:overflowPunct/>
              <w:autoSpaceDE/>
              <w:autoSpaceDN/>
              <w:adjustRightInd/>
              <w:spacing w:after="0"/>
              <w:textAlignment w:val="auto"/>
              <w:rPr>
                <w:rFonts w:asciiTheme="minorHAnsi" w:hAnsiTheme="minorHAnsi"/>
                <w:b/>
                <w:bCs/>
                <w:color w:val="000000"/>
                <w:lang w:eastAsia="en-GB"/>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3363E84B" w14:textId="77777777" w:rsidR="00723E1B" w:rsidRPr="002C1CBC" w:rsidRDefault="00723E1B" w:rsidP="002C1CBC">
            <w:pPr>
              <w:keepNext/>
              <w:overflowPunct/>
              <w:autoSpaceDE/>
              <w:autoSpaceDN/>
              <w:adjustRightInd/>
              <w:spacing w:after="0"/>
              <w:textAlignment w:val="auto"/>
              <w:rPr>
                <w:rFonts w:asciiTheme="minorHAnsi" w:hAnsiTheme="minorHAnsi"/>
                <w:b/>
                <w:bCs/>
                <w:color w:val="000000"/>
                <w:lang w:eastAsia="en-GB"/>
              </w:rPr>
            </w:pPr>
          </w:p>
        </w:tc>
        <w:tc>
          <w:tcPr>
            <w:tcW w:w="957" w:type="dxa"/>
            <w:vMerge/>
            <w:tcBorders>
              <w:top w:val="single" w:sz="4" w:space="0" w:color="auto"/>
              <w:left w:val="single" w:sz="4" w:space="0" w:color="auto"/>
              <w:bottom w:val="single" w:sz="4" w:space="0" w:color="000000"/>
              <w:right w:val="single" w:sz="4" w:space="0" w:color="auto"/>
            </w:tcBorders>
            <w:vAlign w:val="center"/>
            <w:hideMark/>
          </w:tcPr>
          <w:p w14:paraId="1AD34683" w14:textId="77777777" w:rsidR="00723E1B" w:rsidRPr="002C1CBC" w:rsidRDefault="00723E1B" w:rsidP="002C1CBC">
            <w:pPr>
              <w:keepNext/>
              <w:overflowPunct/>
              <w:autoSpaceDE/>
              <w:autoSpaceDN/>
              <w:adjustRightInd/>
              <w:spacing w:after="0"/>
              <w:textAlignment w:val="auto"/>
              <w:rPr>
                <w:rFonts w:asciiTheme="minorHAnsi" w:hAnsiTheme="minorHAnsi"/>
                <w:b/>
                <w:bCs/>
                <w:color w:val="000000"/>
                <w:lang w:eastAsia="en-GB"/>
              </w:rPr>
            </w:pPr>
          </w:p>
        </w:tc>
        <w:tc>
          <w:tcPr>
            <w:tcW w:w="952" w:type="dxa"/>
            <w:tcBorders>
              <w:top w:val="nil"/>
              <w:left w:val="nil"/>
              <w:bottom w:val="single" w:sz="4" w:space="0" w:color="auto"/>
              <w:right w:val="single" w:sz="4" w:space="0" w:color="auto"/>
            </w:tcBorders>
            <w:shd w:val="clear" w:color="auto" w:fill="auto"/>
            <w:vAlign w:val="center"/>
            <w:hideMark/>
          </w:tcPr>
          <w:p w14:paraId="3644CB15" w14:textId="77777777" w:rsidR="00723E1B" w:rsidRPr="002C1CBC" w:rsidRDefault="00723E1B"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Gating</w:t>
            </w:r>
          </w:p>
        </w:tc>
        <w:tc>
          <w:tcPr>
            <w:tcW w:w="949" w:type="dxa"/>
            <w:tcBorders>
              <w:top w:val="nil"/>
              <w:left w:val="nil"/>
              <w:bottom w:val="single" w:sz="4" w:space="0" w:color="auto"/>
              <w:right w:val="single" w:sz="4" w:space="0" w:color="auto"/>
            </w:tcBorders>
            <w:shd w:val="clear" w:color="auto" w:fill="auto"/>
            <w:vAlign w:val="center"/>
            <w:hideMark/>
          </w:tcPr>
          <w:p w14:paraId="082FC703" w14:textId="77777777" w:rsidR="00723E1B" w:rsidRPr="002C1CBC" w:rsidRDefault="00723E1B"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MPR [dB]</w:t>
            </w:r>
          </w:p>
        </w:tc>
        <w:tc>
          <w:tcPr>
            <w:tcW w:w="952" w:type="dxa"/>
            <w:tcBorders>
              <w:top w:val="nil"/>
              <w:left w:val="nil"/>
              <w:bottom w:val="single" w:sz="4" w:space="0" w:color="auto"/>
              <w:right w:val="single" w:sz="4" w:space="0" w:color="auto"/>
            </w:tcBorders>
            <w:shd w:val="clear" w:color="auto" w:fill="auto"/>
            <w:vAlign w:val="center"/>
            <w:hideMark/>
          </w:tcPr>
          <w:p w14:paraId="2BF28486" w14:textId="77777777" w:rsidR="00723E1B" w:rsidRPr="002C1CBC" w:rsidRDefault="00723E1B"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Gating</w:t>
            </w:r>
          </w:p>
        </w:tc>
        <w:tc>
          <w:tcPr>
            <w:tcW w:w="949" w:type="dxa"/>
            <w:tcBorders>
              <w:top w:val="nil"/>
              <w:left w:val="nil"/>
              <w:bottom w:val="single" w:sz="4" w:space="0" w:color="auto"/>
              <w:right w:val="single" w:sz="4" w:space="0" w:color="auto"/>
            </w:tcBorders>
            <w:shd w:val="clear" w:color="auto" w:fill="auto"/>
            <w:vAlign w:val="center"/>
            <w:hideMark/>
          </w:tcPr>
          <w:p w14:paraId="11D2D8A2" w14:textId="77777777" w:rsidR="00723E1B" w:rsidRPr="002C1CBC" w:rsidRDefault="00723E1B"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MPR [dB]</w:t>
            </w:r>
          </w:p>
        </w:tc>
      </w:tr>
      <w:tr w:rsidR="00723E1B" w:rsidRPr="00723E1B" w14:paraId="57B778DD" w14:textId="77777777" w:rsidTr="002C1CBC">
        <w:trPr>
          <w:cantSplit/>
          <w:trHeight w:val="300"/>
          <w:jc w:val="center"/>
        </w:trPr>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90FEBB"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 kHz</w:t>
            </w:r>
          </w:p>
        </w:tc>
        <w:tc>
          <w:tcPr>
            <w:tcW w:w="10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9356F"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16-QAM</w:t>
            </w:r>
          </w:p>
        </w:tc>
        <w:tc>
          <w:tcPr>
            <w:tcW w:w="957" w:type="dxa"/>
            <w:tcBorders>
              <w:top w:val="nil"/>
              <w:left w:val="nil"/>
              <w:bottom w:val="single" w:sz="4" w:space="0" w:color="auto"/>
              <w:right w:val="single" w:sz="4" w:space="0" w:color="auto"/>
            </w:tcBorders>
            <w:shd w:val="clear" w:color="auto" w:fill="auto"/>
            <w:noWrap/>
            <w:vAlign w:val="bottom"/>
            <w:hideMark/>
          </w:tcPr>
          <w:p w14:paraId="26D3B393"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3@0</w:t>
            </w:r>
          </w:p>
        </w:tc>
        <w:tc>
          <w:tcPr>
            <w:tcW w:w="952" w:type="dxa"/>
            <w:tcBorders>
              <w:top w:val="nil"/>
              <w:left w:val="nil"/>
              <w:bottom w:val="single" w:sz="4" w:space="0" w:color="auto"/>
              <w:right w:val="single" w:sz="4" w:space="0" w:color="auto"/>
            </w:tcBorders>
            <w:shd w:val="clear" w:color="auto" w:fill="auto"/>
            <w:noWrap/>
            <w:vAlign w:val="bottom"/>
            <w:hideMark/>
          </w:tcPr>
          <w:p w14:paraId="229CD67C"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75DD22D8"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c>
          <w:tcPr>
            <w:tcW w:w="952" w:type="dxa"/>
            <w:tcBorders>
              <w:top w:val="nil"/>
              <w:left w:val="nil"/>
              <w:bottom w:val="single" w:sz="4" w:space="0" w:color="auto"/>
              <w:right w:val="single" w:sz="4" w:space="0" w:color="auto"/>
            </w:tcBorders>
            <w:shd w:val="clear" w:color="auto" w:fill="auto"/>
            <w:noWrap/>
            <w:vAlign w:val="bottom"/>
            <w:hideMark/>
          </w:tcPr>
          <w:p w14:paraId="3F8EA377"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5E21F4C1"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r>
      <w:tr w:rsidR="00723E1B" w:rsidRPr="00723E1B" w14:paraId="2BD4FFA6"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34A48D94"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27D831B2"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2BF745B8"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3@3</w:t>
            </w:r>
          </w:p>
        </w:tc>
        <w:tc>
          <w:tcPr>
            <w:tcW w:w="952" w:type="dxa"/>
            <w:tcBorders>
              <w:top w:val="nil"/>
              <w:left w:val="nil"/>
              <w:bottom w:val="single" w:sz="4" w:space="0" w:color="auto"/>
              <w:right w:val="single" w:sz="4" w:space="0" w:color="auto"/>
            </w:tcBorders>
            <w:shd w:val="clear" w:color="auto" w:fill="auto"/>
            <w:noWrap/>
            <w:vAlign w:val="bottom"/>
            <w:hideMark/>
          </w:tcPr>
          <w:p w14:paraId="483A6555"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034E3E48"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c>
          <w:tcPr>
            <w:tcW w:w="952" w:type="dxa"/>
            <w:tcBorders>
              <w:top w:val="nil"/>
              <w:left w:val="nil"/>
              <w:bottom w:val="single" w:sz="4" w:space="0" w:color="auto"/>
              <w:right w:val="single" w:sz="4" w:space="0" w:color="auto"/>
            </w:tcBorders>
            <w:shd w:val="clear" w:color="auto" w:fill="auto"/>
            <w:noWrap/>
            <w:vAlign w:val="bottom"/>
            <w:hideMark/>
          </w:tcPr>
          <w:p w14:paraId="6BB7FFCF"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0CDD9620"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r>
      <w:tr w:rsidR="00723E1B" w:rsidRPr="00723E1B" w14:paraId="222E15A4"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25605BB9"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7CAB8891"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5BA32400"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3@6</w:t>
            </w:r>
          </w:p>
        </w:tc>
        <w:tc>
          <w:tcPr>
            <w:tcW w:w="952" w:type="dxa"/>
            <w:tcBorders>
              <w:top w:val="nil"/>
              <w:left w:val="nil"/>
              <w:bottom w:val="single" w:sz="4" w:space="0" w:color="auto"/>
              <w:right w:val="single" w:sz="4" w:space="0" w:color="auto"/>
            </w:tcBorders>
            <w:shd w:val="clear" w:color="auto" w:fill="auto"/>
            <w:noWrap/>
            <w:vAlign w:val="bottom"/>
            <w:hideMark/>
          </w:tcPr>
          <w:p w14:paraId="1CA9019F"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1AB000A3"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c>
          <w:tcPr>
            <w:tcW w:w="952" w:type="dxa"/>
            <w:tcBorders>
              <w:top w:val="nil"/>
              <w:left w:val="nil"/>
              <w:bottom w:val="single" w:sz="4" w:space="0" w:color="auto"/>
              <w:right w:val="single" w:sz="4" w:space="0" w:color="auto"/>
            </w:tcBorders>
            <w:shd w:val="clear" w:color="auto" w:fill="auto"/>
            <w:noWrap/>
            <w:vAlign w:val="bottom"/>
            <w:hideMark/>
          </w:tcPr>
          <w:p w14:paraId="6D1538D1"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62318E54"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r>
      <w:tr w:rsidR="00723E1B" w:rsidRPr="00723E1B" w14:paraId="67068A48"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5D010859"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0BAA1B06"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17DB5CBF"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3@9</w:t>
            </w:r>
          </w:p>
        </w:tc>
        <w:tc>
          <w:tcPr>
            <w:tcW w:w="952" w:type="dxa"/>
            <w:tcBorders>
              <w:top w:val="nil"/>
              <w:left w:val="nil"/>
              <w:bottom w:val="single" w:sz="4" w:space="0" w:color="auto"/>
              <w:right w:val="single" w:sz="4" w:space="0" w:color="auto"/>
            </w:tcBorders>
            <w:shd w:val="clear" w:color="auto" w:fill="auto"/>
            <w:noWrap/>
            <w:vAlign w:val="bottom"/>
            <w:hideMark/>
          </w:tcPr>
          <w:p w14:paraId="5581BB44"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6CF9FC2A"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c>
          <w:tcPr>
            <w:tcW w:w="952" w:type="dxa"/>
            <w:tcBorders>
              <w:top w:val="nil"/>
              <w:left w:val="nil"/>
              <w:bottom w:val="single" w:sz="4" w:space="0" w:color="auto"/>
              <w:right w:val="single" w:sz="4" w:space="0" w:color="auto"/>
            </w:tcBorders>
            <w:shd w:val="clear" w:color="auto" w:fill="auto"/>
            <w:noWrap/>
            <w:vAlign w:val="bottom"/>
            <w:hideMark/>
          </w:tcPr>
          <w:p w14:paraId="4D4BB6A4"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6CAA9442"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w:t>
            </w:r>
          </w:p>
        </w:tc>
      </w:tr>
      <w:tr w:rsidR="00723E1B" w:rsidRPr="00723E1B" w14:paraId="65375B99"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00F3D1FD"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24CB849E"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2EAB7399"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6@0</w:t>
            </w:r>
          </w:p>
        </w:tc>
        <w:tc>
          <w:tcPr>
            <w:tcW w:w="952" w:type="dxa"/>
            <w:tcBorders>
              <w:top w:val="nil"/>
              <w:left w:val="nil"/>
              <w:bottom w:val="single" w:sz="4" w:space="0" w:color="auto"/>
              <w:right w:val="single" w:sz="4" w:space="0" w:color="auto"/>
            </w:tcBorders>
            <w:shd w:val="clear" w:color="auto" w:fill="auto"/>
            <w:noWrap/>
            <w:vAlign w:val="bottom"/>
            <w:hideMark/>
          </w:tcPr>
          <w:p w14:paraId="027E7D87"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EVM</w:t>
            </w:r>
          </w:p>
        </w:tc>
        <w:tc>
          <w:tcPr>
            <w:tcW w:w="949" w:type="dxa"/>
            <w:tcBorders>
              <w:top w:val="nil"/>
              <w:left w:val="nil"/>
              <w:bottom w:val="single" w:sz="4" w:space="0" w:color="auto"/>
              <w:right w:val="single" w:sz="4" w:space="0" w:color="auto"/>
            </w:tcBorders>
            <w:shd w:val="clear" w:color="auto" w:fill="auto"/>
            <w:noWrap/>
            <w:vAlign w:val="bottom"/>
            <w:hideMark/>
          </w:tcPr>
          <w:p w14:paraId="49A26412"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1.1</w:t>
            </w:r>
          </w:p>
        </w:tc>
        <w:tc>
          <w:tcPr>
            <w:tcW w:w="952" w:type="dxa"/>
            <w:tcBorders>
              <w:top w:val="nil"/>
              <w:left w:val="nil"/>
              <w:bottom w:val="single" w:sz="4" w:space="0" w:color="auto"/>
              <w:right w:val="single" w:sz="4" w:space="0" w:color="auto"/>
            </w:tcBorders>
            <w:shd w:val="clear" w:color="auto" w:fill="auto"/>
            <w:noWrap/>
            <w:vAlign w:val="bottom"/>
            <w:hideMark/>
          </w:tcPr>
          <w:p w14:paraId="75E5D553"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0D35D4F4"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1.3</w:t>
            </w:r>
          </w:p>
        </w:tc>
      </w:tr>
      <w:tr w:rsidR="00723E1B" w:rsidRPr="00723E1B" w14:paraId="21F400FA"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17C1D6F3"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025FDE01"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32D488E8"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6@6</w:t>
            </w:r>
          </w:p>
        </w:tc>
        <w:tc>
          <w:tcPr>
            <w:tcW w:w="952" w:type="dxa"/>
            <w:tcBorders>
              <w:top w:val="nil"/>
              <w:left w:val="nil"/>
              <w:bottom w:val="single" w:sz="4" w:space="0" w:color="auto"/>
              <w:right w:val="single" w:sz="4" w:space="0" w:color="auto"/>
            </w:tcBorders>
            <w:shd w:val="clear" w:color="auto" w:fill="auto"/>
            <w:noWrap/>
            <w:vAlign w:val="bottom"/>
            <w:hideMark/>
          </w:tcPr>
          <w:p w14:paraId="1E94FD22"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EVM</w:t>
            </w:r>
          </w:p>
        </w:tc>
        <w:tc>
          <w:tcPr>
            <w:tcW w:w="949" w:type="dxa"/>
            <w:tcBorders>
              <w:top w:val="nil"/>
              <w:left w:val="nil"/>
              <w:bottom w:val="single" w:sz="4" w:space="0" w:color="auto"/>
              <w:right w:val="single" w:sz="4" w:space="0" w:color="auto"/>
            </w:tcBorders>
            <w:shd w:val="clear" w:color="auto" w:fill="auto"/>
            <w:noWrap/>
            <w:vAlign w:val="bottom"/>
            <w:hideMark/>
          </w:tcPr>
          <w:p w14:paraId="54BFCB74"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1.1</w:t>
            </w:r>
          </w:p>
        </w:tc>
        <w:tc>
          <w:tcPr>
            <w:tcW w:w="952" w:type="dxa"/>
            <w:tcBorders>
              <w:top w:val="nil"/>
              <w:left w:val="nil"/>
              <w:bottom w:val="single" w:sz="4" w:space="0" w:color="auto"/>
              <w:right w:val="single" w:sz="4" w:space="0" w:color="auto"/>
            </w:tcBorders>
            <w:shd w:val="clear" w:color="auto" w:fill="auto"/>
            <w:noWrap/>
            <w:vAlign w:val="bottom"/>
            <w:hideMark/>
          </w:tcPr>
          <w:p w14:paraId="5CED13A1"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0E16F650"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1.3</w:t>
            </w:r>
          </w:p>
        </w:tc>
      </w:tr>
      <w:tr w:rsidR="00723E1B" w:rsidRPr="00723E1B" w14:paraId="3F17DFCF"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28D64D37"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405CFB04" w14:textId="77777777" w:rsidR="00723E1B" w:rsidRPr="002C1CBC" w:rsidRDefault="00723E1B"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4A169F98"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12@0</w:t>
            </w:r>
          </w:p>
        </w:tc>
        <w:tc>
          <w:tcPr>
            <w:tcW w:w="952" w:type="dxa"/>
            <w:tcBorders>
              <w:top w:val="nil"/>
              <w:left w:val="nil"/>
              <w:bottom w:val="single" w:sz="4" w:space="0" w:color="auto"/>
              <w:right w:val="single" w:sz="4" w:space="0" w:color="auto"/>
            </w:tcBorders>
            <w:shd w:val="clear" w:color="auto" w:fill="auto"/>
            <w:noWrap/>
            <w:vAlign w:val="bottom"/>
            <w:hideMark/>
          </w:tcPr>
          <w:p w14:paraId="60F56D92"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OBW</w:t>
            </w:r>
          </w:p>
        </w:tc>
        <w:tc>
          <w:tcPr>
            <w:tcW w:w="949" w:type="dxa"/>
            <w:tcBorders>
              <w:top w:val="nil"/>
              <w:left w:val="nil"/>
              <w:bottom w:val="single" w:sz="4" w:space="0" w:color="auto"/>
              <w:right w:val="single" w:sz="4" w:space="0" w:color="auto"/>
            </w:tcBorders>
            <w:shd w:val="clear" w:color="auto" w:fill="auto"/>
            <w:noWrap/>
            <w:vAlign w:val="bottom"/>
            <w:hideMark/>
          </w:tcPr>
          <w:p w14:paraId="427974B2"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2.6</w:t>
            </w:r>
          </w:p>
        </w:tc>
        <w:tc>
          <w:tcPr>
            <w:tcW w:w="952" w:type="dxa"/>
            <w:tcBorders>
              <w:top w:val="nil"/>
              <w:left w:val="nil"/>
              <w:bottom w:val="single" w:sz="4" w:space="0" w:color="auto"/>
              <w:right w:val="single" w:sz="4" w:space="0" w:color="auto"/>
            </w:tcBorders>
            <w:shd w:val="clear" w:color="auto" w:fill="auto"/>
            <w:noWrap/>
            <w:vAlign w:val="bottom"/>
            <w:hideMark/>
          </w:tcPr>
          <w:p w14:paraId="487EB7C4"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OBW</w:t>
            </w:r>
          </w:p>
        </w:tc>
        <w:tc>
          <w:tcPr>
            <w:tcW w:w="949" w:type="dxa"/>
            <w:tcBorders>
              <w:top w:val="nil"/>
              <w:left w:val="nil"/>
              <w:bottom w:val="single" w:sz="4" w:space="0" w:color="auto"/>
              <w:right w:val="single" w:sz="4" w:space="0" w:color="auto"/>
            </w:tcBorders>
            <w:shd w:val="clear" w:color="auto" w:fill="auto"/>
            <w:noWrap/>
            <w:vAlign w:val="bottom"/>
            <w:hideMark/>
          </w:tcPr>
          <w:p w14:paraId="405CB1A5" w14:textId="77777777" w:rsidR="00723E1B" w:rsidRPr="002C1CBC" w:rsidRDefault="00723E1B"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2.6</w:t>
            </w:r>
          </w:p>
        </w:tc>
      </w:tr>
    </w:tbl>
    <w:p w14:paraId="1ACBA125" w14:textId="360D4AEE" w:rsidR="00723E1B" w:rsidRDefault="00723E1B" w:rsidP="00723E1B">
      <w:pPr>
        <w:jc w:val="center"/>
      </w:pPr>
    </w:p>
    <w:p w14:paraId="26475F4D" w14:textId="5A3BB824" w:rsidR="00723E1B" w:rsidRDefault="00723E1B" w:rsidP="002C1CBC">
      <w:pPr>
        <w:keepNext/>
        <w:jc w:val="center"/>
      </w:pPr>
      <w:r>
        <w:t xml:space="preserve">Table </w:t>
      </w:r>
      <w:r w:rsidR="008C3681">
        <w:t>2</w:t>
      </w:r>
      <w:r>
        <w:t>: Simulated MPR for 16-QAM in Power Class 5</w:t>
      </w:r>
    </w:p>
    <w:tbl>
      <w:tblPr>
        <w:tblW w:w="6720" w:type="dxa"/>
        <w:jc w:val="center"/>
        <w:tblLook w:val="04A0" w:firstRow="1" w:lastRow="0" w:firstColumn="1" w:lastColumn="0" w:noHBand="0" w:noVBand="1"/>
      </w:tblPr>
      <w:tblGrid>
        <w:gridCol w:w="952"/>
        <w:gridCol w:w="1195"/>
        <w:gridCol w:w="1003"/>
        <w:gridCol w:w="952"/>
        <w:gridCol w:w="949"/>
        <w:gridCol w:w="952"/>
        <w:gridCol w:w="949"/>
      </w:tblGrid>
      <w:tr w:rsidR="0068461E" w:rsidRPr="0068461E" w14:paraId="5F795ACB" w14:textId="77777777" w:rsidTr="002C1CBC">
        <w:trPr>
          <w:cantSplit/>
          <w:trHeight w:val="585"/>
          <w:jc w:val="center"/>
        </w:trPr>
        <w:tc>
          <w:tcPr>
            <w:tcW w:w="9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1BD11B" w14:textId="77777777" w:rsidR="0068461E" w:rsidRPr="002C1CBC" w:rsidRDefault="0068461E"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Tone</w:t>
            </w:r>
            <w:r w:rsidRPr="002C1CBC">
              <w:rPr>
                <w:rFonts w:asciiTheme="minorHAnsi" w:hAnsiTheme="minorHAnsi"/>
                <w:b/>
                <w:bCs/>
                <w:color w:val="000000"/>
                <w:lang w:eastAsia="en-GB"/>
              </w:rPr>
              <w:br/>
              <w:t>spacing</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1C083" w14:textId="77777777" w:rsidR="0068461E" w:rsidRPr="002C1CBC" w:rsidRDefault="0068461E"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Modulation</w:t>
            </w:r>
          </w:p>
        </w:tc>
        <w:tc>
          <w:tcPr>
            <w:tcW w:w="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B35B45" w14:textId="77777777" w:rsidR="0068461E" w:rsidRPr="002C1CBC" w:rsidRDefault="0068461E"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Allocated</w:t>
            </w:r>
            <w:r w:rsidRPr="002C1CBC">
              <w:rPr>
                <w:rFonts w:asciiTheme="minorHAnsi" w:hAnsiTheme="minorHAnsi"/>
                <w:b/>
                <w:bCs/>
                <w:color w:val="000000"/>
                <w:lang w:eastAsia="en-GB"/>
              </w:rPr>
              <w:br/>
              <w:t>tones</w:t>
            </w:r>
          </w:p>
        </w:tc>
        <w:tc>
          <w:tcPr>
            <w:tcW w:w="1901" w:type="dxa"/>
            <w:gridSpan w:val="2"/>
            <w:tcBorders>
              <w:top w:val="single" w:sz="4" w:space="0" w:color="auto"/>
              <w:left w:val="nil"/>
              <w:bottom w:val="single" w:sz="4" w:space="0" w:color="auto"/>
              <w:right w:val="single" w:sz="4" w:space="0" w:color="auto"/>
            </w:tcBorders>
            <w:shd w:val="clear" w:color="auto" w:fill="auto"/>
            <w:vAlign w:val="bottom"/>
            <w:hideMark/>
          </w:tcPr>
          <w:p w14:paraId="4DC165AB" w14:textId="02E68A6C" w:rsidR="0068461E" w:rsidRPr="002C1CBC" w:rsidRDefault="00DB7FB9" w:rsidP="002C1CBC">
            <w:pPr>
              <w:keepNext/>
              <w:overflowPunct/>
              <w:autoSpaceDE/>
              <w:autoSpaceDN/>
              <w:adjustRightInd/>
              <w:spacing w:after="0"/>
              <w:jc w:val="center"/>
              <w:textAlignment w:val="auto"/>
              <w:rPr>
                <w:rFonts w:asciiTheme="minorHAnsi" w:hAnsiTheme="minorHAnsi"/>
                <w:b/>
                <w:bCs/>
                <w:color w:val="000000"/>
                <w:lang w:eastAsia="en-GB"/>
              </w:rPr>
            </w:pPr>
            <w:r>
              <w:rPr>
                <w:rFonts w:asciiTheme="minorHAnsi" w:hAnsiTheme="minorHAnsi"/>
                <w:b/>
                <w:bCs/>
                <w:color w:val="000000"/>
                <w:lang w:eastAsia="en-GB"/>
              </w:rPr>
              <w:t xml:space="preserve">A: </w:t>
            </w:r>
            <w:r w:rsidR="0068461E" w:rsidRPr="002C1CBC">
              <w:rPr>
                <w:rFonts w:asciiTheme="minorHAnsi" w:hAnsiTheme="minorHAnsi"/>
                <w:b/>
                <w:bCs/>
                <w:color w:val="000000"/>
                <w:lang w:eastAsia="en-GB"/>
              </w:rPr>
              <w:t>Specified 1st General IBE formula</w:t>
            </w:r>
          </w:p>
        </w:tc>
        <w:tc>
          <w:tcPr>
            <w:tcW w:w="1901" w:type="dxa"/>
            <w:gridSpan w:val="2"/>
            <w:tcBorders>
              <w:top w:val="single" w:sz="4" w:space="0" w:color="auto"/>
              <w:left w:val="nil"/>
              <w:bottom w:val="single" w:sz="4" w:space="0" w:color="auto"/>
              <w:right w:val="single" w:sz="4" w:space="0" w:color="auto"/>
            </w:tcBorders>
            <w:shd w:val="clear" w:color="auto" w:fill="auto"/>
            <w:vAlign w:val="bottom"/>
            <w:hideMark/>
          </w:tcPr>
          <w:p w14:paraId="0F6637DA" w14:textId="1F001E49" w:rsidR="0068461E" w:rsidRPr="002C1CBC" w:rsidRDefault="00E3408C" w:rsidP="002C1CBC">
            <w:pPr>
              <w:keepNext/>
              <w:overflowPunct/>
              <w:autoSpaceDE/>
              <w:autoSpaceDN/>
              <w:adjustRightInd/>
              <w:spacing w:after="0"/>
              <w:jc w:val="center"/>
              <w:textAlignment w:val="auto"/>
              <w:rPr>
                <w:rFonts w:asciiTheme="minorHAnsi" w:hAnsiTheme="minorHAnsi"/>
                <w:b/>
                <w:bCs/>
                <w:color w:val="000000"/>
                <w:lang w:eastAsia="en-GB"/>
              </w:rPr>
            </w:pPr>
            <w:r>
              <w:rPr>
                <w:rFonts w:asciiTheme="minorHAnsi" w:hAnsiTheme="minorHAnsi"/>
                <w:b/>
                <w:bCs/>
                <w:color w:val="000000"/>
                <w:lang w:eastAsia="en-GB"/>
              </w:rPr>
              <w:t xml:space="preserve">B: </w:t>
            </w:r>
            <w:r w:rsidR="00B74BF2">
              <w:rPr>
                <w:rFonts w:asciiTheme="minorHAnsi" w:hAnsiTheme="minorHAnsi"/>
                <w:b/>
                <w:bCs/>
                <w:color w:val="000000"/>
                <w:lang w:eastAsia="en-GB"/>
              </w:rPr>
              <w:t>Proposed</w:t>
            </w:r>
            <w:r w:rsidR="00B74BF2" w:rsidRPr="002C1CBC" w:rsidDel="00B74BF2">
              <w:rPr>
                <w:rFonts w:asciiTheme="minorHAnsi" w:hAnsiTheme="minorHAnsi"/>
                <w:b/>
                <w:bCs/>
                <w:color w:val="000000"/>
                <w:lang w:eastAsia="en-GB"/>
              </w:rPr>
              <w:t xml:space="preserve"> </w:t>
            </w:r>
            <w:r w:rsidR="0068461E" w:rsidRPr="002C1CBC">
              <w:rPr>
                <w:rFonts w:asciiTheme="minorHAnsi" w:hAnsiTheme="minorHAnsi"/>
                <w:b/>
                <w:bCs/>
                <w:color w:val="000000"/>
                <w:lang w:eastAsia="en-GB"/>
              </w:rPr>
              <w:t>1st General IBE formula</w:t>
            </w:r>
          </w:p>
        </w:tc>
      </w:tr>
      <w:tr w:rsidR="0068461E" w:rsidRPr="0068461E" w14:paraId="39892A74" w14:textId="77777777" w:rsidTr="002C1CBC">
        <w:trPr>
          <w:cantSplit/>
          <w:trHeight w:val="300"/>
          <w:jc w:val="center"/>
        </w:trPr>
        <w:tc>
          <w:tcPr>
            <w:tcW w:w="952" w:type="dxa"/>
            <w:vMerge/>
            <w:tcBorders>
              <w:top w:val="single" w:sz="4" w:space="0" w:color="auto"/>
              <w:left w:val="single" w:sz="4" w:space="0" w:color="auto"/>
              <w:bottom w:val="single" w:sz="4" w:space="0" w:color="000000"/>
              <w:right w:val="single" w:sz="4" w:space="0" w:color="auto"/>
            </w:tcBorders>
            <w:vAlign w:val="center"/>
            <w:hideMark/>
          </w:tcPr>
          <w:p w14:paraId="4D9D0B37" w14:textId="77777777" w:rsidR="0068461E" w:rsidRPr="002C1CBC" w:rsidRDefault="0068461E" w:rsidP="002C1CBC">
            <w:pPr>
              <w:keepNext/>
              <w:overflowPunct/>
              <w:autoSpaceDE/>
              <w:autoSpaceDN/>
              <w:adjustRightInd/>
              <w:spacing w:after="0"/>
              <w:textAlignment w:val="auto"/>
              <w:rPr>
                <w:rFonts w:asciiTheme="minorHAnsi" w:hAnsiTheme="minorHAnsi"/>
                <w:b/>
                <w:bCs/>
                <w:color w:val="000000"/>
                <w:lang w:eastAsia="en-GB"/>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1CC42548" w14:textId="77777777" w:rsidR="0068461E" w:rsidRPr="002C1CBC" w:rsidRDefault="0068461E" w:rsidP="002C1CBC">
            <w:pPr>
              <w:keepNext/>
              <w:overflowPunct/>
              <w:autoSpaceDE/>
              <w:autoSpaceDN/>
              <w:adjustRightInd/>
              <w:spacing w:after="0"/>
              <w:textAlignment w:val="auto"/>
              <w:rPr>
                <w:rFonts w:asciiTheme="minorHAnsi" w:hAnsiTheme="minorHAnsi"/>
                <w:b/>
                <w:bCs/>
                <w:color w:val="000000"/>
                <w:lang w:eastAsia="en-GB"/>
              </w:rPr>
            </w:pPr>
          </w:p>
        </w:tc>
        <w:tc>
          <w:tcPr>
            <w:tcW w:w="957" w:type="dxa"/>
            <w:vMerge/>
            <w:tcBorders>
              <w:top w:val="single" w:sz="4" w:space="0" w:color="auto"/>
              <w:left w:val="single" w:sz="4" w:space="0" w:color="auto"/>
              <w:bottom w:val="single" w:sz="4" w:space="0" w:color="000000"/>
              <w:right w:val="single" w:sz="4" w:space="0" w:color="auto"/>
            </w:tcBorders>
            <w:vAlign w:val="center"/>
            <w:hideMark/>
          </w:tcPr>
          <w:p w14:paraId="2BD70F01" w14:textId="77777777" w:rsidR="0068461E" w:rsidRPr="002C1CBC" w:rsidRDefault="0068461E" w:rsidP="002C1CBC">
            <w:pPr>
              <w:keepNext/>
              <w:overflowPunct/>
              <w:autoSpaceDE/>
              <w:autoSpaceDN/>
              <w:adjustRightInd/>
              <w:spacing w:after="0"/>
              <w:textAlignment w:val="auto"/>
              <w:rPr>
                <w:rFonts w:asciiTheme="minorHAnsi" w:hAnsiTheme="minorHAnsi"/>
                <w:b/>
                <w:bCs/>
                <w:color w:val="000000"/>
                <w:lang w:eastAsia="en-GB"/>
              </w:rPr>
            </w:pPr>
          </w:p>
        </w:tc>
        <w:tc>
          <w:tcPr>
            <w:tcW w:w="952" w:type="dxa"/>
            <w:tcBorders>
              <w:top w:val="nil"/>
              <w:left w:val="nil"/>
              <w:bottom w:val="single" w:sz="4" w:space="0" w:color="auto"/>
              <w:right w:val="single" w:sz="4" w:space="0" w:color="auto"/>
            </w:tcBorders>
            <w:shd w:val="clear" w:color="auto" w:fill="auto"/>
            <w:vAlign w:val="center"/>
            <w:hideMark/>
          </w:tcPr>
          <w:p w14:paraId="746756A7" w14:textId="77777777" w:rsidR="0068461E" w:rsidRPr="002C1CBC" w:rsidRDefault="0068461E"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Gating</w:t>
            </w:r>
          </w:p>
        </w:tc>
        <w:tc>
          <w:tcPr>
            <w:tcW w:w="949" w:type="dxa"/>
            <w:tcBorders>
              <w:top w:val="nil"/>
              <w:left w:val="nil"/>
              <w:bottom w:val="single" w:sz="4" w:space="0" w:color="auto"/>
              <w:right w:val="single" w:sz="4" w:space="0" w:color="auto"/>
            </w:tcBorders>
            <w:shd w:val="clear" w:color="auto" w:fill="auto"/>
            <w:vAlign w:val="center"/>
            <w:hideMark/>
          </w:tcPr>
          <w:p w14:paraId="3B7434D6" w14:textId="77777777" w:rsidR="0068461E" w:rsidRPr="002C1CBC" w:rsidRDefault="0068461E"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MPR [dB]</w:t>
            </w:r>
          </w:p>
        </w:tc>
        <w:tc>
          <w:tcPr>
            <w:tcW w:w="952" w:type="dxa"/>
            <w:tcBorders>
              <w:top w:val="nil"/>
              <w:left w:val="nil"/>
              <w:bottom w:val="single" w:sz="4" w:space="0" w:color="auto"/>
              <w:right w:val="single" w:sz="4" w:space="0" w:color="auto"/>
            </w:tcBorders>
            <w:shd w:val="clear" w:color="auto" w:fill="auto"/>
            <w:vAlign w:val="center"/>
            <w:hideMark/>
          </w:tcPr>
          <w:p w14:paraId="741BCC6E" w14:textId="77777777" w:rsidR="0068461E" w:rsidRPr="002C1CBC" w:rsidRDefault="0068461E"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Gating</w:t>
            </w:r>
          </w:p>
        </w:tc>
        <w:tc>
          <w:tcPr>
            <w:tcW w:w="949" w:type="dxa"/>
            <w:tcBorders>
              <w:top w:val="nil"/>
              <w:left w:val="nil"/>
              <w:bottom w:val="single" w:sz="4" w:space="0" w:color="auto"/>
              <w:right w:val="single" w:sz="4" w:space="0" w:color="auto"/>
            </w:tcBorders>
            <w:shd w:val="clear" w:color="auto" w:fill="auto"/>
            <w:vAlign w:val="center"/>
            <w:hideMark/>
          </w:tcPr>
          <w:p w14:paraId="697E9E3B" w14:textId="77777777" w:rsidR="0068461E" w:rsidRPr="002C1CBC" w:rsidRDefault="0068461E" w:rsidP="002C1CBC">
            <w:pPr>
              <w:keepNext/>
              <w:overflowPunct/>
              <w:autoSpaceDE/>
              <w:autoSpaceDN/>
              <w:adjustRightInd/>
              <w:spacing w:after="0"/>
              <w:jc w:val="center"/>
              <w:textAlignment w:val="auto"/>
              <w:rPr>
                <w:rFonts w:asciiTheme="minorHAnsi" w:hAnsiTheme="minorHAnsi"/>
                <w:b/>
                <w:bCs/>
                <w:color w:val="000000"/>
                <w:lang w:eastAsia="en-GB"/>
              </w:rPr>
            </w:pPr>
            <w:r w:rsidRPr="002C1CBC">
              <w:rPr>
                <w:rFonts w:asciiTheme="minorHAnsi" w:hAnsiTheme="minorHAnsi"/>
                <w:b/>
                <w:bCs/>
                <w:color w:val="000000"/>
                <w:lang w:eastAsia="en-GB"/>
              </w:rPr>
              <w:t>MPR [dB]</w:t>
            </w:r>
          </w:p>
        </w:tc>
      </w:tr>
      <w:tr w:rsidR="0068461E" w:rsidRPr="0068461E" w14:paraId="13AE177A" w14:textId="77777777" w:rsidTr="002C1CBC">
        <w:trPr>
          <w:cantSplit/>
          <w:trHeight w:val="300"/>
          <w:jc w:val="center"/>
        </w:trPr>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2E88FE"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15 kHz</w:t>
            </w:r>
          </w:p>
        </w:tc>
        <w:tc>
          <w:tcPr>
            <w:tcW w:w="10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4A64D8"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16-QAM</w:t>
            </w:r>
          </w:p>
        </w:tc>
        <w:tc>
          <w:tcPr>
            <w:tcW w:w="957" w:type="dxa"/>
            <w:tcBorders>
              <w:top w:val="nil"/>
              <w:left w:val="nil"/>
              <w:bottom w:val="single" w:sz="4" w:space="0" w:color="auto"/>
              <w:right w:val="single" w:sz="4" w:space="0" w:color="auto"/>
            </w:tcBorders>
            <w:shd w:val="clear" w:color="auto" w:fill="auto"/>
            <w:noWrap/>
            <w:vAlign w:val="bottom"/>
            <w:hideMark/>
          </w:tcPr>
          <w:p w14:paraId="530B93E0"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3@0</w:t>
            </w:r>
          </w:p>
        </w:tc>
        <w:tc>
          <w:tcPr>
            <w:tcW w:w="952" w:type="dxa"/>
            <w:tcBorders>
              <w:top w:val="nil"/>
              <w:left w:val="nil"/>
              <w:bottom w:val="single" w:sz="4" w:space="0" w:color="auto"/>
              <w:right w:val="single" w:sz="4" w:space="0" w:color="auto"/>
            </w:tcBorders>
            <w:shd w:val="clear" w:color="auto" w:fill="auto"/>
            <w:noWrap/>
            <w:vAlign w:val="bottom"/>
            <w:hideMark/>
          </w:tcPr>
          <w:p w14:paraId="7E34D74E"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4C34D0DC"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c>
          <w:tcPr>
            <w:tcW w:w="952" w:type="dxa"/>
            <w:tcBorders>
              <w:top w:val="nil"/>
              <w:left w:val="nil"/>
              <w:bottom w:val="single" w:sz="4" w:space="0" w:color="auto"/>
              <w:right w:val="single" w:sz="4" w:space="0" w:color="auto"/>
            </w:tcBorders>
            <w:shd w:val="clear" w:color="auto" w:fill="auto"/>
            <w:noWrap/>
            <w:vAlign w:val="bottom"/>
            <w:hideMark/>
          </w:tcPr>
          <w:p w14:paraId="213D55C6"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49105C34"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r>
      <w:tr w:rsidR="0068461E" w:rsidRPr="0068461E" w14:paraId="36992C1D"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18C75BF8"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331FF8DC"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6C9AD980"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3@3</w:t>
            </w:r>
          </w:p>
        </w:tc>
        <w:tc>
          <w:tcPr>
            <w:tcW w:w="952" w:type="dxa"/>
            <w:tcBorders>
              <w:top w:val="nil"/>
              <w:left w:val="nil"/>
              <w:bottom w:val="single" w:sz="4" w:space="0" w:color="auto"/>
              <w:right w:val="single" w:sz="4" w:space="0" w:color="auto"/>
            </w:tcBorders>
            <w:shd w:val="clear" w:color="auto" w:fill="auto"/>
            <w:noWrap/>
            <w:vAlign w:val="bottom"/>
            <w:hideMark/>
          </w:tcPr>
          <w:p w14:paraId="0B96EB94"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37D84BC8"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c>
          <w:tcPr>
            <w:tcW w:w="952" w:type="dxa"/>
            <w:tcBorders>
              <w:top w:val="nil"/>
              <w:left w:val="nil"/>
              <w:bottom w:val="single" w:sz="4" w:space="0" w:color="auto"/>
              <w:right w:val="single" w:sz="4" w:space="0" w:color="auto"/>
            </w:tcBorders>
            <w:shd w:val="clear" w:color="auto" w:fill="auto"/>
            <w:noWrap/>
            <w:vAlign w:val="bottom"/>
            <w:hideMark/>
          </w:tcPr>
          <w:p w14:paraId="7FE00847"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50AA76B7"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r>
      <w:tr w:rsidR="0068461E" w:rsidRPr="0068461E" w14:paraId="6F3F26F7"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2D3E2203"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43AB9FE3"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2A21964B"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3@6</w:t>
            </w:r>
          </w:p>
        </w:tc>
        <w:tc>
          <w:tcPr>
            <w:tcW w:w="952" w:type="dxa"/>
            <w:tcBorders>
              <w:top w:val="nil"/>
              <w:left w:val="nil"/>
              <w:bottom w:val="single" w:sz="4" w:space="0" w:color="auto"/>
              <w:right w:val="single" w:sz="4" w:space="0" w:color="auto"/>
            </w:tcBorders>
            <w:shd w:val="clear" w:color="auto" w:fill="auto"/>
            <w:noWrap/>
            <w:vAlign w:val="bottom"/>
            <w:hideMark/>
          </w:tcPr>
          <w:p w14:paraId="658F7204"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4B15FB30"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c>
          <w:tcPr>
            <w:tcW w:w="952" w:type="dxa"/>
            <w:tcBorders>
              <w:top w:val="nil"/>
              <w:left w:val="nil"/>
              <w:bottom w:val="single" w:sz="4" w:space="0" w:color="auto"/>
              <w:right w:val="single" w:sz="4" w:space="0" w:color="auto"/>
            </w:tcBorders>
            <w:shd w:val="clear" w:color="auto" w:fill="auto"/>
            <w:noWrap/>
            <w:vAlign w:val="bottom"/>
            <w:hideMark/>
          </w:tcPr>
          <w:p w14:paraId="25524452"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6013B622"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r>
      <w:tr w:rsidR="0068461E" w:rsidRPr="0068461E" w14:paraId="0EE0AE3E"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64C6D228"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3A792F42"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5616D1F0"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3@9</w:t>
            </w:r>
          </w:p>
        </w:tc>
        <w:tc>
          <w:tcPr>
            <w:tcW w:w="952" w:type="dxa"/>
            <w:tcBorders>
              <w:top w:val="nil"/>
              <w:left w:val="nil"/>
              <w:bottom w:val="nil"/>
              <w:right w:val="single" w:sz="4" w:space="0" w:color="auto"/>
            </w:tcBorders>
            <w:shd w:val="clear" w:color="auto" w:fill="auto"/>
            <w:noWrap/>
            <w:vAlign w:val="bottom"/>
            <w:hideMark/>
          </w:tcPr>
          <w:p w14:paraId="4480D1A8"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1CF80255"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c>
          <w:tcPr>
            <w:tcW w:w="952" w:type="dxa"/>
            <w:tcBorders>
              <w:top w:val="nil"/>
              <w:left w:val="nil"/>
              <w:bottom w:val="single" w:sz="4" w:space="0" w:color="auto"/>
              <w:right w:val="single" w:sz="4" w:space="0" w:color="auto"/>
            </w:tcBorders>
            <w:shd w:val="clear" w:color="auto" w:fill="auto"/>
            <w:noWrap/>
            <w:vAlign w:val="bottom"/>
            <w:hideMark/>
          </w:tcPr>
          <w:p w14:paraId="717E4AB9"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15057EDD"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1.4</w:t>
            </w:r>
          </w:p>
        </w:tc>
      </w:tr>
      <w:tr w:rsidR="0068461E" w:rsidRPr="0068461E" w14:paraId="35FF0969"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5C893EB6"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1837C32E"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2E47873D"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6@0</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14:paraId="091C0C99"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EVM</w:t>
            </w:r>
          </w:p>
        </w:tc>
        <w:tc>
          <w:tcPr>
            <w:tcW w:w="949" w:type="dxa"/>
            <w:tcBorders>
              <w:top w:val="nil"/>
              <w:left w:val="nil"/>
              <w:bottom w:val="single" w:sz="4" w:space="0" w:color="auto"/>
              <w:right w:val="single" w:sz="4" w:space="0" w:color="auto"/>
            </w:tcBorders>
            <w:shd w:val="clear" w:color="auto" w:fill="auto"/>
            <w:noWrap/>
            <w:vAlign w:val="bottom"/>
            <w:hideMark/>
          </w:tcPr>
          <w:p w14:paraId="141C1078"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1.0</w:t>
            </w:r>
          </w:p>
        </w:tc>
        <w:tc>
          <w:tcPr>
            <w:tcW w:w="952" w:type="dxa"/>
            <w:tcBorders>
              <w:top w:val="nil"/>
              <w:left w:val="nil"/>
              <w:bottom w:val="single" w:sz="4" w:space="0" w:color="auto"/>
              <w:right w:val="single" w:sz="4" w:space="0" w:color="auto"/>
            </w:tcBorders>
            <w:shd w:val="clear" w:color="auto" w:fill="auto"/>
            <w:noWrap/>
            <w:vAlign w:val="bottom"/>
            <w:hideMark/>
          </w:tcPr>
          <w:p w14:paraId="13B078A1"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74107254"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1.3</w:t>
            </w:r>
          </w:p>
        </w:tc>
      </w:tr>
      <w:tr w:rsidR="0068461E" w:rsidRPr="0068461E" w14:paraId="6925459D"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1418D597"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17C6D088"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413AC09B"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6@6</w:t>
            </w:r>
          </w:p>
        </w:tc>
        <w:tc>
          <w:tcPr>
            <w:tcW w:w="952" w:type="dxa"/>
            <w:tcBorders>
              <w:top w:val="nil"/>
              <w:left w:val="nil"/>
              <w:bottom w:val="single" w:sz="4" w:space="0" w:color="auto"/>
              <w:right w:val="single" w:sz="4" w:space="0" w:color="auto"/>
            </w:tcBorders>
            <w:shd w:val="clear" w:color="auto" w:fill="auto"/>
            <w:noWrap/>
            <w:vAlign w:val="bottom"/>
            <w:hideMark/>
          </w:tcPr>
          <w:p w14:paraId="05FBD3ED"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EVM</w:t>
            </w:r>
          </w:p>
        </w:tc>
        <w:tc>
          <w:tcPr>
            <w:tcW w:w="949" w:type="dxa"/>
            <w:tcBorders>
              <w:top w:val="nil"/>
              <w:left w:val="nil"/>
              <w:bottom w:val="single" w:sz="4" w:space="0" w:color="auto"/>
              <w:right w:val="single" w:sz="4" w:space="0" w:color="auto"/>
            </w:tcBorders>
            <w:shd w:val="clear" w:color="auto" w:fill="auto"/>
            <w:noWrap/>
            <w:vAlign w:val="bottom"/>
            <w:hideMark/>
          </w:tcPr>
          <w:p w14:paraId="28FDE7DE"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1.0</w:t>
            </w:r>
          </w:p>
        </w:tc>
        <w:tc>
          <w:tcPr>
            <w:tcW w:w="952" w:type="dxa"/>
            <w:tcBorders>
              <w:top w:val="nil"/>
              <w:left w:val="nil"/>
              <w:bottom w:val="single" w:sz="4" w:space="0" w:color="auto"/>
              <w:right w:val="single" w:sz="4" w:space="0" w:color="auto"/>
            </w:tcBorders>
            <w:shd w:val="clear" w:color="auto" w:fill="auto"/>
            <w:noWrap/>
            <w:vAlign w:val="bottom"/>
            <w:hideMark/>
          </w:tcPr>
          <w:p w14:paraId="2FB4EF0A"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4B431FBC"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1.3</w:t>
            </w:r>
          </w:p>
        </w:tc>
      </w:tr>
      <w:tr w:rsidR="0068461E" w:rsidRPr="0068461E" w14:paraId="3BF0F275"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55EC7B77"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6C495F7E" w14:textId="77777777" w:rsidR="0068461E" w:rsidRPr="002C1CBC" w:rsidRDefault="0068461E" w:rsidP="002C1CBC">
            <w:pPr>
              <w:keepNext/>
              <w:overflowPunct/>
              <w:autoSpaceDE/>
              <w:autoSpaceDN/>
              <w:adjustRightInd/>
              <w:spacing w:after="0"/>
              <w:textAlignment w:val="auto"/>
              <w:rPr>
                <w:rFonts w:asciiTheme="minorHAnsi" w:hAnsiTheme="minorHAns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55E147C1"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12@0</w:t>
            </w:r>
          </w:p>
        </w:tc>
        <w:tc>
          <w:tcPr>
            <w:tcW w:w="952" w:type="dxa"/>
            <w:tcBorders>
              <w:top w:val="nil"/>
              <w:left w:val="nil"/>
              <w:bottom w:val="single" w:sz="4" w:space="0" w:color="auto"/>
              <w:right w:val="single" w:sz="4" w:space="0" w:color="auto"/>
            </w:tcBorders>
            <w:shd w:val="clear" w:color="auto" w:fill="auto"/>
            <w:noWrap/>
            <w:vAlign w:val="bottom"/>
            <w:hideMark/>
          </w:tcPr>
          <w:p w14:paraId="3E8A8F01"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OBW</w:t>
            </w:r>
          </w:p>
        </w:tc>
        <w:tc>
          <w:tcPr>
            <w:tcW w:w="949" w:type="dxa"/>
            <w:tcBorders>
              <w:top w:val="nil"/>
              <w:left w:val="nil"/>
              <w:bottom w:val="single" w:sz="4" w:space="0" w:color="auto"/>
              <w:right w:val="single" w:sz="4" w:space="0" w:color="auto"/>
            </w:tcBorders>
            <w:shd w:val="clear" w:color="auto" w:fill="auto"/>
            <w:noWrap/>
            <w:vAlign w:val="bottom"/>
            <w:hideMark/>
          </w:tcPr>
          <w:p w14:paraId="649CF5AC"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2.5</w:t>
            </w:r>
          </w:p>
        </w:tc>
        <w:tc>
          <w:tcPr>
            <w:tcW w:w="952" w:type="dxa"/>
            <w:tcBorders>
              <w:top w:val="nil"/>
              <w:left w:val="nil"/>
              <w:bottom w:val="single" w:sz="4" w:space="0" w:color="auto"/>
              <w:right w:val="single" w:sz="4" w:space="0" w:color="auto"/>
            </w:tcBorders>
            <w:shd w:val="clear" w:color="auto" w:fill="auto"/>
            <w:noWrap/>
            <w:vAlign w:val="bottom"/>
            <w:hideMark/>
          </w:tcPr>
          <w:p w14:paraId="7489BF4B"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OBW</w:t>
            </w:r>
          </w:p>
        </w:tc>
        <w:tc>
          <w:tcPr>
            <w:tcW w:w="949" w:type="dxa"/>
            <w:tcBorders>
              <w:top w:val="nil"/>
              <w:left w:val="nil"/>
              <w:bottom w:val="single" w:sz="4" w:space="0" w:color="auto"/>
              <w:right w:val="single" w:sz="4" w:space="0" w:color="auto"/>
            </w:tcBorders>
            <w:shd w:val="clear" w:color="auto" w:fill="auto"/>
            <w:noWrap/>
            <w:vAlign w:val="bottom"/>
            <w:hideMark/>
          </w:tcPr>
          <w:p w14:paraId="637C8B18" w14:textId="77777777" w:rsidR="0068461E" w:rsidRPr="002C1CBC" w:rsidRDefault="0068461E" w:rsidP="002C1CBC">
            <w:pPr>
              <w:keepNext/>
              <w:overflowPunct/>
              <w:autoSpaceDE/>
              <w:autoSpaceDN/>
              <w:adjustRightInd/>
              <w:spacing w:after="0"/>
              <w:jc w:val="center"/>
              <w:textAlignment w:val="auto"/>
              <w:rPr>
                <w:rFonts w:asciiTheme="minorHAnsi" w:hAnsiTheme="minorHAnsi"/>
                <w:color w:val="000000"/>
                <w:lang w:eastAsia="en-GB"/>
              </w:rPr>
            </w:pPr>
            <w:r w:rsidRPr="002C1CBC">
              <w:rPr>
                <w:rFonts w:asciiTheme="minorHAnsi" w:hAnsiTheme="minorHAnsi"/>
                <w:color w:val="000000"/>
                <w:lang w:eastAsia="en-GB"/>
              </w:rPr>
              <w:t>2.5</w:t>
            </w:r>
          </w:p>
        </w:tc>
      </w:tr>
    </w:tbl>
    <w:p w14:paraId="49261ECE" w14:textId="2E9D6577" w:rsidR="00723E1B" w:rsidRDefault="00723E1B" w:rsidP="00723E1B">
      <w:pPr>
        <w:jc w:val="center"/>
      </w:pPr>
    </w:p>
    <w:p w14:paraId="5B38F304" w14:textId="0E6001D2" w:rsidR="00BE3E60" w:rsidRDefault="00BE3E60" w:rsidP="00BE3E60">
      <w:pPr>
        <w:keepNext/>
        <w:jc w:val="center"/>
      </w:pPr>
      <w:r>
        <w:t>Table 3: Simulated MPR for 16-QAM in Power Class 6</w:t>
      </w:r>
    </w:p>
    <w:tbl>
      <w:tblPr>
        <w:tblW w:w="6720" w:type="dxa"/>
        <w:jc w:val="center"/>
        <w:tblLook w:val="04A0" w:firstRow="1" w:lastRow="0" w:firstColumn="1" w:lastColumn="0" w:noHBand="0" w:noVBand="1"/>
      </w:tblPr>
      <w:tblGrid>
        <w:gridCol w:w="952"/>
        <w:gridCol w:w="1195"/>
        <w:gridCol w:w="1003"/>
        <w:gridCol w:w="952"/>
        <w:gridCol w:w="949"/>
        <w:gridCol w:w="952"/>
        <w:gridCol w:w="949"/>
      </w:tblGrid>
      <w:tr w:rsidR="00BE3E60" w:rsidRPr="00BE3E60" w14:paraId="34000D1B" w14:textId="77777777" w:rsidTr="002C1CBC">
        <w:trPr>
          <w:cantSplit/>
          <w:trHeight w:val="615"/>
          <w:jc w:val="center"/>
        </w:trPr>
        <w:tc>
          <w:tcPr>
            <w:tcW w:w="9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0B0004" w14:textId="77777777" w:rsidR="00BE3E60" w:rsidRPr="00BE3E60" w:rsidRDefault="00BE3E60" w:rsidP="00BE3E60">
            <w:pPr>
              <w:overflowPunct/>
              <w:autoSpaceDE/>
              <w:autoSpaceDN/>
              <w:adjustRightInd/>
              <w:spacing w:after="0"/>
              <w:jc w:val="center"/>
              <w:textAlignment w:val="auto"/>
              <w:rPr>
                <w:rFonts w:ascii="Calibri" w:hAnsi="Calibri"/>
                <w:b/>
                <w:bCs/>
                <w:color w:val="000000"/>
                <w:lang w:eastAsia="en-GB"/>
              </w:rPr>
            </w:pPr>
            <w:r w:rsidRPr="00BE3E60">
              <w:rPr>
                <w:rFonts w:ascii="Calibri" w:hAnsi="Calibri"/>
                <w:b/>
                <w:bCs/>
                <w:color w:val="000000"/>
                <w:lang w:eastAsia="en-GB"/>
              </w:rPr>
              <w:t>Tone</w:t>
            </w:r>
            <w:r w:rsidRPr="00BE3E60">
              <w:rPr>
                <w:rFonts w:ascii="Calibri" w:hAnsi="Calibri"/>
                <w:b/>
                <w:bCs/>
                <w:color w:val="000000"/>
                <w:lang w:eastAsia="en-GB"/>
              </w:rPr>
              <w:br/>
              <w:t>spacing</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C67C0" w14:textId="77777777" w:rsidR="00BE3E60" w:rsidRPr="00BE3E60" w:rsidRDefault="00BE3E60" w:rsidP="00BE3E60">
            <w:pPr>
              <w:overflowPunct/>
              <w:autoSpaceDE/>
              <w:autoSpaceDN/>
              <w:adjustRightInd/>
              <w:spacing w:after="0"/>
              <w:jc w:val="center"/>
              <w:textAlignment w:val="auto"/>
              <w:rPr>
                <w:rFonts w:ascii="Calibri" w:hAnsi="Calibri"/>
                <w:b/>
                <w:bCs/>
                <w:color w:val="000000"/>
                <w:lang w:eastAsia="en-GB"/>
              </w:rPr>
            </w:pPr>
            <w:r w:rsidRPr="00BE3E60">
              <w:rPr>
                <w:rFonts w:ascii="Calibri" w:hAnsi="Calibri"/>
                <w:b/>
                <w:bCs/>
                <w:color w:val="000000"/>
                <w:lang w:eastAsia="en-GB"/>
              </w:rPr>
              <w:t>Modulation</w:t>
            </w:r>
          </w:p>
        </w:tc>
        <w:tc>
          <w:tcPr>
            <w:tcW w:w="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F529D6" w14:textId="77777777" w:rsidR="00BE3E60" w:rsidRPr="00BE3E60" w:rsidRDefault="00BE3E60" w:rsidP="00BE3E60">
            <w:pPr>
              <w:overflowPunct/>
              <w:autoSpaceDE/>
              <w:autoSpaceDN/>
              <w:adjustRightInd/>
              <w:spacing w:after="0"/>
              <w:jc w:val="center"/>
              <w:textAlignment w:val="auto"/>
              <w:rPr>
                <w:rFonts w:ascii="Calibri" w:hAnsi="Calibri"/>
                <w:b/>
                <w:bCs/>
                <w:color w:val="000000"/>
                <w:lang w:eastAsia="en-GB"/>
              </w:rPr>
            </w:pPr>
            <w:r w:rsidRPr="00BE3E60">
              <w:rPr>
                <w:rFonts w:ascii="Calibri" w:hAnsi="Calibri"/>
                <w:b/>
                <w:bCs/>
                <w:color w:val="000000"/>
                <w:lang w:eastAsia="en-GB"/>
              </w:rPr>
              <w:t>Allocated</w:t>
            </w:r>
            <w:r w:rsidRPr="00BE3E60">
              <w:rPr>
                <w:rFonts w:ascii="Calibri" w:hAnsi="Calibri"/>
                <w:b/>
                <w:bCs/>
                <w:color w:val="000000"/>
                <w:lang w:eastAsia="en-GB"/>
              </w:rPr>
              <w:br/>
              <w:t>tones</w:t>
            </w:r>
          </w:p>
        </w:tc>
        <w:tc>
          <w:tcPr>
            <w:tcW w:w="1901" w:type="dxa"/>
            <w:gridSpan w:val="2"/>
            <w:tcBorders>
              <w:top w:val="single" w:sz="4" w:space="0" w:color="auto"/>
              <w:left w:val="nil"/>
              <w:bottom w:val="single" w:sz="4" w:space="0" w:color="auto"/>
              <w:right w:val="single" w:sz="4" w:space="0" w:color="auto"/>
            </w:tcBorders>
            <w:shd w:val="clear" w:color="auto" w:fill="auto"/>
            <w:vAlign w:val="bottom"/>
            <w:hideMark/>
          </w:tcPr>
          <w:p w14:paraId="3B52BE99" w14:textId="4243930A" w:rsidR="00BE3E60" w:rsidRPr="00BE3E60" w:rsidRDefault="00DB7FB9" w:rsidP="00BE3E60">
            <w:pPr>
              <w:overflowPunct/>
              <w:autoSpaceDE/>
              <w:autoSpaceDN/>
              <w:adjustRightInd/>
              <w:spacing w:after="0"/>
              <w:jc w:val="center"/>
              <w:textAlignment w:val="auto"/>
              <w:rPr>
                <w:rFonts w:ascii="Calibri" w:hAnsi="Calibri"/>
                <w:b/>
                <w:bCs/>
                <w:color w:val="000000"/>
                <w:lang w:eastAsia="en-GB"/>
              </w:rPr>
            </w:pPr>
            <w:r>
              <w:rPr>
                <w:rFonts w:ascii="Calibri" w:hAnsi="Calibri"/>
                <w:b/>
                <w:bCs/>
                <w:color w:val="000000"/>
                <w:lang w:eastAsia="en-GB"/>
              </w:rPr>
              <w:t xml:space="preserve">A: </w:t>
            </w:r>
            <w:r w:rsidR="00BE3E60" w:rsidRPr="00BE3E60">
              <w:rPr>
                <w:rFonts w:ascii="Calibri" w:hAnsi="Calibri"/>
                <w:b/>
                <w:bCs/>
                <w:color w:val="000000"/>
                <w:lang w:eastAsia="en-GB"/>
              </w:rPr>
              <w:t>Specified 1st General IBE formula</w:t>
            </w:r>
          </w:p>
        </w:tc>
        <w:tc>
          <w:tcPr>
            <w:tcW w:w="1901" w:type="dxa"/>
            <w:gridSpan w:val="2"/>
            <w:tcBorders>
              <w:top w:val="single" w:sz="4" w:space="0" w:color="auto"/>
              <w:left w:val="nil"/>
              <w:bottom w:val="single" w:sz="4" w:space="0" w:color="auto"/>
              <w:right w:val="single" w:sz="4" w:space="0" w:color="auto"/>
            </w:tcBorders>
            <w:shd w:val="clear" w:color="auto" w:fill="auto"/>
            <w:vAlign w:val="bottom"/>
            <w:hideMark/>
          </w:tcPr>
          <w:p w14:paraId="7066D4D6" w14:textId="6296AB69" w:rsidR="00BE3E60" w:rsidRPr="00BE3E60" w:rsidRDefault="00DB7FB9" w:rsidP="00BE3E60">
            <w:pPr>
              <w:overflowPunct/>
              <w:autoSpaceDE/>
              <w:autoSpaceDN/>
              <w:adjustRightInd/>
              <w:spacing w:after="0"/>
              <w:jc w:val="center"/>
              <w:textAlignment w:val="auto"/>
              <w:rPr>
                <w:rFonts w:ascii="Calibri" w:hAnsi="Calibri"/>
                <w:b/>
                <w:bCs/>
                <w:color w:val="000000"/>
                <w:lang w:eastAsia="en-GB"/>
              </w:rPr>
            </w:pPr>
            <w:r>
              <w:rPr>
                <w:rFonts w:asciiTheme="minorHAnsi" w:hAnsiTheme="minorHAnsi"/>
                <w:b/>
                <w:bCs/>
                <w:color w:val="000000"/>
                <w:lang w:eastAsia="en-GB"/>
              </w:rPr>
              <w:t xml:space="preserve">B: </w:t>
            </w:r>
            <w:r w:rsidR="00B74BF2">
              <w:rPr>
                <w:rFonts w:asciiTheme="minorHAnsi" w:hAnsiTheme="minorHAnsi"/>
                <w:b/>
                <w:bCs/>
                <w:color w:val="000000"/>
                <w:lang w:eastAsia="en-GB"/>
              </w:rPr>
              <w:t>Proposed</w:t>
            </w:r>
            <w:r w:rsidR="00B74BF2" w:rsidRPr="00BE3E60" w:rsidDel="00B74BF2">
              <w:rPr>
                <w:rFonts w:ascii="Calibri" w:hAnsi="Calibri"/>
                <w:b/>
                <w:bCs/>
                <w:color w:val="000000"/>
                <w:lang w:eastAsia="en-GB"/>
              </w:rPr>
              <w:t xml:space="preserve"> </w:t>
            </w:r>
            <w:r w:rsidR="00BE3E60" w:rsidRPr="00BE3E60">
              <w:rPr>
                <w:rFonts w:ascii="Calibri" w:hAnsi="Calibri"/>
                <w:b/>
                <w:bCs/>
                <w:color w:val="000000"/>
                <w:lang w:eastAsia="en-GB"/>
              </w:rPr>
              <w:t>1st General IBE formula</w:t>
            </w:r>
          </w:p>
        </w:tc>
      </w:tr>
      <w:tr w:rsidR="00BE3E60" w:rsidRPr="00BE3E60" w14:paraId="375EE898" w14:textId="77777777" w:rsidTr="002C1CBC">
        <w:trPr>
          <w:cantSplit/>
          <w:trHeight w:val="300"/>
          <w:jc w:val="center"/>
        </w:trPr>
        <w:tc>
          <w:tcPr>
            <w:tcW w:w="952" w:type="dxa"/>
            <w:vMerge/>
            <w:tcBorders>
              <w:top w:val="single" w:sz="4" w:space="0" w:color="auto"/>
              <w:left w:val="single" w:sz="4" w:space="0" w:color="auto"/>
              <w:bottom w:val="single" w:sz="4" w:space="0" w:color="000000"/>
              <w:right w:val="single" w:sz="4" w:space="0" w:color="auto"/>
            </w:tcBorders>
            <w:vAlign w:val="center"/>
            <w:hideMark/>
          </w:tcPr>
          <w:p w14:paraId="010385ED" w14:textId="77777777" w:rsidR="00BE3E60" w:rsidRPr="00BE3E60" w:rsidRDefault="00BE3E60" w:rsidP="00BE3E60">
            <w:pPr>
              <w:overflowPunct/>
              <w:autoSpaceDE/>
              <w:autoSpaceDN/>
              <w:adjustRightInd/>
              <w:spacing w:after="0"/>
              <w:textAlignment w:val="auto"/>
              <w:rPr>
                <w:rFonts w:ascii="Calibri" w:hAnsi="Calibri"/>
                <w:b/>
                <w:bCs/>
                <w:color w:val="000000"/>
                <w:lang w:eastAsia="en-GB"/>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7F3582A7" w14:textId="77777777" w:rsidR="00BE3E60" w:rsidRPr="00BE3E60" w:rsidRDefault="00BE3E60" w:rsidP="00BE3E60">
            <w:pPr>
              <w:overflowPunct/>
              <w:autoSpaceDE/>
              <w:autoSpaceDN/>
              <w:adjustRightInd/>
              <w:spacing w:after="0"/>
              <w:textAlignment w:val="auto"/>
              <w:rPr>
                <w:rFonts w:ascii="Calibri" w:hAnsi="Calibri"/>
                <w:b/>
                <w:bCs/>
                <w:color w:val="000000"/>
                <w:lang w:eastAsia="en-GB"/>
              </w:rPr>
            </w:pPr>
          </w:p>
        </w:tc>
        <w:tc>
          <w:tcPr>
            <w:tcW w:w="957" w:type="dxa"/>
            <w:vMerge/>
            <w:tcBorders>
              <w:top w:val="single" w:sz="4" w:space="0" w:color="auto"/>
              <w:left w:val="single" w:sz="4" w:space="0" w:color="auto"/>
              <w:bottom w:val="single" w:sz="4" w:space="0" w:color="000000"/>
              <w:right w:val="single" w:sz="4" w:space="0" w:color="auto"/>
            </w:tcBorders>
            <w:vAlign w:val="center"/>
            <w:hideMark/>
          </w:tcPr>
          <w:p w14:paraId="42E22B4B" w14:textId="77777777" w:rsidR="00BE3E60" w:rsidRPr="00BE3E60" w:rsidRDefault="00BE3E60" w:rsidP="00BE3E60">
            <w:pPr>
              <w:overflowPunct/>
              <w:autoSpaceDE/>
              <w:autoSpaceDN/>
              <w:adjustRightInd/>
              <w:spacing w:after="0"/>
              <w:textAlignment w:val="auto"/>
              <w:rPr>
                <w:rFonts w:ascii="Calibri" w:hAnsi="Calibri"/>
                <w:b/>
                <w:bCs/>
                <w:color w:val="000000"/>
                <w:lang w:eastAsia="en-GB"/>
              </w:rPr>
            </w:pPr>
          </w:p>
        </w:tc>
        <w:tc>
          <w:tcPr>
            <w:tcW w:w="952" w:type="dxa"/>
            <w:tcBorders>
              <w:top w:val="nil"/>
              <w:left w:val="nil"/>
              <w:bottom w:val="single" w:sz="4" w:space="0" w:color="auto"/>
              <w:right w:val="single" w:sz="4" w:space="0" w:color="auto"/>
            </w:tcBorders>
            <w:shd w:val="clear" w:color="auto" w:fill="auto"/>
            <w:vAlign w:val="center"/>
            <w:hideMark/>
          </w:tcPr>
          <w:p w14:paraId="79A3AD8A" w14:textId="77777777" w:rsidR="00BE3E60" w:rsidRPr="00BE3E60" w:rsidRDefault="00BE3E60" w:rsidP="00BE3E60">
            <w:pPr>
              <w:overflowPunct/>
              <w:autoSpaceDE/>
              <w:autoSpaceDN/>
              <w:adjustRightInd/>
              <w:spacing w:after="0"/>
              <w:jc w:val="center"/>
              <w:textAlignment w:val="auto"/>
              <w:rPr>
                <w:rFonts w:ascii="Calibri" w:hAnsi="Calibri"/>
                <w:b/>
                <w:bCs/>
                <w:color w:val="000000"/>
                <w:lang w:eastAsia="en-GB"/>
              </w:rPr>
            </w:pPr>
            <w:r w:rsidRPr="00BE3E60">
              <w:rPr>
                <w:rFonts w:ascii="Calibri" w:hAnsi="Calibri"/>
                <w:b/>
                <w:bCs/>
                <w:color w:val="000000"/>
                <w:lang w:eastAsia="en-GB"/>
              </w:rPr>
              <w:t>Gating</w:t>
            </w:r>
          </w:p>
        </w:tc>
        <w:tc>
          <w:tcPr>
            <w:tcW w:w="949" w:type="dxa"/>
            <w:tcBorders>
              <w:top w:val="nil"/>
              <w:left w:val="nil"/>
              <w:bottom w:val="single" w:sz="4" w:space="0" w:color="auto"/>
              <w:right w:val="single" w:sz="4" w:space="0" w:color="auto"/>
            </w:tcBorders>
            <w:shd w:val="clear" w:color="auto" w:fill="auto"/>
            <w:vAlign w:val="center"/>
            <w:hideMark/>
          </w:tcPr>
          <w:p w14:paraId="17458A69" w14:textId="77777777" w:rsidR="00BE3E60" w:rsidRPr="00BE3E60" w:rsidRDefault="00BE3E60" w:rsidP="00BE3E60">
            <w:pPr>
              <w:overflowPunct/>
              <w:autoSpaceDE/>
              <w:autoSpaceDN/>
              <w:adjustRightInd/>
              <w:spacing w:after="0"/>
              <w:jc w:val="center"/>
              <w:textAlignment w:val="auto"/>
              <w:rPr>
                <w:rFonts w:ascii="Calibri" w:hAnsi="Calibri"/>
                <w:b/>
                <w:bCs/>
                <w:color w:val="000000"/>
                <w:lang w:eastAsia="en-GB"/>
              </w:rPr>
            </w:pPr>
            <w:r w:rsidRPr="00BE3E60">
              <w:rPr>
                <w:rFonts w:ascii="Calibri" w:hAnsi="Calibri"/>
                <w:b/>
                <w:bCs/>
                <w:color w:val="000000"/>
                <w:lang w:eastAsia="en-GB"/>
              </w:rPr>
              <w:t>MPR [dB]</w:t>
            </w:r>
          </w:p>
        </w:tc>
        <w:tc>
          <w:tcPr>
            <w:tcW w:w="952" w:type="dxa"/>
            <w:tcBorders>
              <w:top w:val="nil"/>
              <w:left w:val="nil"/>
              <w:bottom w:val="single" w:sz="4" w:space="0" w:color="auto"/>
              <w:right w:val="single" w:sz="4" w:space="0" w:color="auto"/>
            </w:tcBorders>
            <w:shd w:val="clear" w:color="auto" w:fill="auto"/>
            <w:vAlign w:val="center"/>
            <w:hideMark/>
          </w:tcPr>
          <w:p w14:paraId="61DB9A9C" w14:textId="77777777" w:rsidR="00BE3E60" w:rsidRPr="00BE3E60" w:rsidRDefault="00BE3E60" w:rsidP="00BE3E60">
            <w:pPr>
              <w:overflowPunct/>
              <w:autoSpaceDE/>
              <w:autoSpaceDN/>
              <w:adjustRightInd/>
              <w:spacing w:after="0"/>
              <w:jc w:val="center"/>
              <w:textAlignment w:val="auto"/>
              <w:rPr>
                <w:rFonts w:ascii="Calibri" w:hAnsi="Calibri"/>
                <w:b/>
                <w:bCs/>
                <w:color w:val="000000"/>
                <w:lang w:eastAsia="en-GB"/>
              </w:rPr>
            </w:pPr>
            <w:r w:rsidRPr="00BE3E60">
              <w:rPr>
                <w:rFonts w:ascii="Calibri" w:hAnsi="Calibri"/>
                <w:b/>
                <w:bCs/>
                <w:color w:val="000000"/>
                <w:lang w:eastAsia="en-GB"/>
              </w:rPr>
              <w:t>Gating</w:t>
            </w:r>
          </w:p>
        </w:tc>
        <w:tc>
          <w:tcPr>
            <w:tcW w:w="949" w:type="dxa"/>
            <w:tcBorders>
              <w:top w:val="nil"/>
              <w:left w:val="nil"/>
              <w:bottom w:val="single" w:sz="4" w:space="0" w:color="auto"/>
              <w:right w:val="single" w:sz="4" w:space="0" w:color="auto"/>
            </w:tcBorders>
            <w:shd w:val="clear" w:color="auto" w:fill="auto"/>
            <w:vAlign w:val="center"/>
            <w:hideMark/>
          </w:tcPr>
          <w:p w14:paraId="40C742EA" w14:textId="77777777" w:rsidR="00BE3E60" w:rsidRPr="00BE3E60" w:rsidRDefault="00BE3E60" w:rsidP="00BE3E60">
            <w:pPr>
              <w:overflowPunct/>
              <w:autoSpaceDE/>
              <w:autoSpaceDN/>
              <w:adjustRightInd/>
              <w:spacing w:after="0"/>
              <w:jc w:val="center"/>
              <w:textAlignment w:val="auto"/>
              <w:rPr>
                <w:rFonts w:ascii="Calibri" w:hAnsi="Calibri"/>
                <w:b/>
                <w:bCs/>
                <w:color w:val="000000"/>
                <w:lang w:eastAsia="en-GB"/>
              </w:rPr>
            </w:pPr>
            <w:r w:rsidRPr="00BE3E60">
              <w:rPr>
                <w:rFonts w:ascii="Calibri" w:hAnsi="Calibri"/>
                <w:b/>
                <w:bCs/>
                <w:color w:val="000000"/>
                <w:lang w:eastAsia="en-GB"/>
              </w:rPr>
              <w:t>MPR [dB]</w:t>
            </w:r>
          </w:p>
        </w:tc>
      </w:tr>
      <w:tr w:rsidR="00BE3E60" w:rsidRPr="00BE3E60" w14:paraId="6DB1FAFD" w14:textId="77777777" w:rsidTr="002C1CBC">
        <w:trPr>
          <w:cantSplit/>
          <w:trHeight w:val="300"/>
          <w:jc w:val="center"/>
        </w:trPr>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0DE409"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15 kHz</w:t>
            </w:r>
          </w:p>
        </w:tc>
        <w:tc>
          <w:tcPr>
            <w:tcW w:w="10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21EC9"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16-QAM</w:t>
            </w:r>
          </w:p>
        </w:tc>
        <w:tc>
          <w:tcPr>
            <w:tcW w:w="957" w:type="dxa"/>
            <w:tcBorders>
              <w:top w:val="nil"/>
              <w:left w:val="nil"/>
              <w:bottom w:val="single" w:sz="4" w:space="0" w:color="auto"/>
              <w:right w:val="single" w:sz="4" w:space="0" w:color="auto"/>
            </w:tcBorders>
            <w:shd w:val="clear" w:color="auto" w:fill="auto"/>
            <w:noWrap/>
            <w:vAlign w:val="bottom"/>
            <w:hideMark/>
          </w:tcPr>
          <w:p w14:paraId="7D93E5F9"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3@0</w:t>
            </w:r>
          </w:p>
        </w:tc>
        <w:tc>
          <w:tcPr>
            <w:tcW w:w="952" w:type="dxa"/>
            <w:tcBorders>
              <w:top w:val="nil"/>
              <w:left w:val="nil"/>
              <w:bottom w:val="single" w:sz="4" w:space="0" w:color="auto"/>
              <w:right w:val="single" w:sz="4" w:space="0" w:color="auto"/>
            </w:tcBorders>
            <w:shd w:val="clear" w:color="auto" w:fill="auto"/>
            <w:noWrap/>
            <w:vAlign w:val="bottom"/>
            <w:hideMark/>
          </w:tcPr>
          <w:p w14:paraId="2DEA834F"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18BC3F4D"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1.3</w:t>
            </w:r>
          </w:p>
        </w:tc>
        <w:tc>
          <w:tcPr>
            <w:tcW w:w="952" w:type="dxa"/>
            <w:tcBorders>
              <w:top w:val="nil"/>
              <w:left w:val="nil"/>
              <w:bottom w:val="single" w:sz="4" w:space="0" w:color="auto"/>
              <w:right w:val="single" w:sz="4" w:space="0" w:color="auto"/>
            </w:tcBorders>
            <w:shd w:val="clear" w:color="auto" w:fill="auto"/>
            <w:noWrap/>
            <w:vAlign w:val="bottom"/>
            <w:hideMark/>
          </w:tcPr>
          <w:p w14:paraId="08D51909"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722E1A40"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1.3</w:t>
            </w:r>
          </w:p>
        </w:tc>
      </w:tr>
      <w:tr w:rsidR="00BE3E60" w:rsidRPr="00BE3E60" w14:paraId="2B7B7166"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5FF6B1EC"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161487E0"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2CAD4763"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3@3</w:t>
            </w:r>
          </w:p>
        </w:tc>
        <w:tc>
          <w:tcPr>
            <w:tcW w:w="952" w:type="dxa"/>
            <w:tcBorders>
              <w:top w:val="nil"/>
              <w:left w:val="nil"/>
              <w:bottom w:val="single" w:sz="4" w:space="0" w:color="auto"/>
              <w:right w:val="single" w:sz="4" w:space="0" w:color="auto"/>
            </w:tcBorders>
            <w:shd w:val="clear" w:color="auto" w:fill="auto"/>
            <w:noWrap/>
            <w:vAlign w:val="bottom"/>
            <w:hideMark/>
          </w:tcPr>
          <w:p w14:paraId="0E985E7C"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066D7366"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1.3</w:t>
            </w:r>
          </w:p>
        </w:tc>
        <w:tc>
          <w:tcPr>
            <w:tcW w:w="952" w:type="dxa"/>
            <w:tcBorders>
              <w:top w:val="nil"/>
              <w:left w:val="nil"/>
              <w:bottom w:val="single" w:sz="4" w:space="0" w:color="auto"/>
              <w:right w:val="single" w:sz="4" w:space="0" w:color="auto"/>
            </w:tcBorders>
            <w:shd w:val="clear" w:color="auto" w:fill="auto"/>
            <w:noWrap/>
            <w:vAlign w:val="bottom"/>
            <w:hideMark/>
          </w:tcPr>
          <w:p w14:paraId="2FF0B3F2"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403424FA"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1.2</w:t>
            </w:r>
          </w:p>
        </w:tc>
      </w:tr>
      <w:tr w:rsidR="00BE3E60" w:rsidRPr="00BE3E60" w14:paraId="07054458"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39BA2315"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34E0ABFB"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2A327D5F"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3@6</w:t>
            </w:r>
          </w:p>
        </w:tc>
        <w:tc>
          <w:tcPr>
            <w:tcW w:w="952" w:type="dxa"/>
            <w:tcBorders>
              <w:top w:val="nil"/>
              <w:left w:val="nil"/>
              <w:bottom w:val="single" w:sz="4" w:space="0" w:color="auto"/>
              <w:right w:val="single" w:sz="4" w:space="0" w:color="auto"/>
            </w:tcBorders>
            <w:shd w:val="clear" w:color="auto" w:fill="auto"/>
            <w:noWrap/>
            <w:vAlign w:val="bottom"/>
            <w:hideMark/>
          </w:tcPr>
          <w:p w14:paraId="6E008066"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244AAF8F"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1.3</w:t>
            </w:r>
          </w:p>
        </w:tc>
        <w:tc>
          <w:tcPr>
            <w:tcW w:w="952" w:type="dxa"/>
            <w:tcBorders>
              <w:top w:val="nil"/>
              <w:left w:val="nil"/>
              <w:bottom w:val="single" w:sz="4" w:space="0" w:color="auto"/>
              <w:right w:val="single" w:sz="4" w:space="0" w:color="auto"/>
            </w:tcBorders>
            <w:shd w:val="clear" w:color="auto" w:fill="auto"/>
            <w:noWrap/>
            <w:vAlign w:val="bottom"/>
            <w:hideMark/>
          </w:tcPr>
          <w:p w14:paraId="603DC701"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3D086B32"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1.2</w:t>
            </w:r>
          </w:p>
        </w:tc>
      </w:tr>
      <w:tr w:rsidR="00BE3E60" w:rsidRPr="00BE3E60" w14:paraId="3CB31658"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701B9C03"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6E3D1A32"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3922DACA"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3@9</w:t>
            </w:r>
          </w:p>
        </w:tc>
        <w:tc>
          <w:tcPr>
            <w:tcW w:w="952" w:type="dxa"/>
            <w:tcBorders>
              <w:top w:val="nil"/>
              <w:left w:val="nil"/>
              <w:bottom w:val="nil"/>
              <w:right w:val="single" w:sz="4" w:space="0" w:color="auto"/>
            </w:tcBorders>
            <w:shd w:val="clear" w:color="auto" w:fill="auto"/>
            <w:noWrap/>
            <w:vAlign w:val="bottom"/>
            <w:hideMark/>
          </w:tcPr>
          <w:p w14:paraId="09303D25"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1AA66C0A"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1.3</w:t>
            </w:r>
          </w:p>
        </w:tc>
        <w:tc>
          <w:tcPr>
            <w:tcW w:w="952" w:type="dxa"/>
            <w:tcBorders>
              <w:top w:val="nil"/>
              <w:left w:val="nil"/>
              <w:bottom w:val="single" w:sz="4" w:space="0" w:color="auto"/>
              <w:right w:val="single" w:sz="4" w:space="0" w:color="auto"/>
            </w:tcBorders>
            <w:shd w:val="clear" w:color="auto" w:fill="auto"/>
            <w:noWrap/>
            <w:vAlign w:val="bottom"/>
            <w:hideMark/>
          </w:tcPr>
          <w:p w14:paraId="7D8B8CED"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6DAA635F"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1.3</w:t>
            </w:r>
          </w:p>
        </w:tc>
      </w:tr>
      <w:tr w:rsidR="00BE3E60" w:rsidRPr="00BE3E60" w14:paraId="6ED53E6D"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3D6CF7EC"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186FFD4A"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1B54D095"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6@0</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14:paraId="1FD2AFA9"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EVM</w:t>
            </w:r>
          </w:p>
        </w:tc>
        <w:tc>
          <w:tcPr>
            <w:tcW w:w="949" w:type="dxa"/>
            <w:tcBorders>
              <w:top w:val="nil"/>
              <w:left w:val="nil"/>
              <w:bottom w:val="single" w:sz="4" w:space="0" w:color="auto"/>
              <w:right w:val="single" w:sz="4" w:space="0" w:color="auto"/>
            </w:tcBorders>
            <w:shd w:val="clear" w:color="auto" w:fill="auto"/>
            <w:noWrap/>
            <w:vAlign w:val="bottom"/>
            <w:hideMark/>
          </w:tcPr>
          <w:p w14:paraId="70A99D77"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0.8</w:t>
            </w:r>
          </w:p>
        </w:tc>
        <w:tc>
          <w:tcPr>
            <w:tcW w:w="952" w:type="dxa"/>
            <w:tcBorders>
              <w:top w:val="nil"/>
              <w:left w:val="nil"/>
              <w:bottom w:val="single" w:sz="4" w:space="0" w:color="auto"/>
              <w:right w:val="single" w:sz="4" w:space="0" w:color="auto"/>
            </w:tcBorders>
            <w:shd w:val="clear" w:color="auto" w:fill="auto"/>
            <w:noWrap/>
            <w:vAlign w:val="bottom"/>
            <w:hideMark/>
          </w:tcPr>
          <w:p w14:paraId="360ACB7A"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572CDADD"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1.1</w:t>
            </w:r>
          </w:p>
        </w:tc>
      </w:tr>
      <w:tr w:rsidR="00BE3E60" w:rsidRPr="00BE3E60" w14:paraId="483425C9"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05C8DC41"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05B65873"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3F6BD50C"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6@6</w:t>
            </w:r>
          </w:p>
        </w:tc>
        <w:tc>
          <w:tcPr>
            <w:tcW w:w="952" w:type="dxa"/>
            <w:tcBorders>
              <w:top w:val="nil"/>
              <w:left w:val="nil"/>
              <w:bottom w:val="single" w:sz="4" w:space="0" w:color="auto"/>
              <w:right w:val="single" w:sz="4" w:space="0" w:color="auto"/>
            </w:tcBorders>
            <w:shd w:val="clear" w:color="auto" w:fill="auto"/>
            <w:noWrap/>
            <w:vAlign w:val="bottom"/>
            <w:hideMark/>
          </w:tcPr>
          <w:p w14:paraId="26D8F9B7"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EVM</w:t>
            </w:r>
          </w:p>
        </w:tc>
        <w:tc>
          <w:tcPr>
            <w:tcW w:w="949" w:type="dxa"/>
            <w:tcBorders>
              <w:top w:val="nil"/>
              <w:left w:val="nil"/>
              <w:bottom w:val="single" w:sz="4" w:space="0" w:color="auto"/>
              <w:right w:val="single" w:sz="4" w:space="0" w:color="auto"/>
            </w:tcBorders>
            <w:shd w:val="clear" w:color="auto" w:fill="auto"/>
            <w:noWrap/>
            <w:vAlign w:val="bottom"/>
            <w:hideMark/>
          </w:tcPr>
          <w:p w14:paraId="6CF0987A"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0.8</w:t>
            </w:r>
          </w:p>
        </w:tc>
        <w:tc>
          <w:tcPr>
            <w:tcW w:w="952" w:type="dxa"/>
            <w:tcBorders>
              <w:top w:val="nil"/>
              <w:left w:val="nil"/>
              <w:bottom w:val="single" w:sz="4" w:space="0" w:color="auto"/>
              <w:right w:val="single" w:sz="4" w:space="0" w:color="auto"/>
            </w:tcBorders>
            <w:shd w:val="clear" w:color="auto" w:fill="auto"/>
            <w:noWrap/>
            <w:vAlign w:val="bottom"/>
            <w:hideMark/>
          </w:tcPr>
          <w:p w14:paraId="65166698"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IBE</w:t>
            </w:r>
          </w:p>
        </w:tc>
        <w:tc>
          <w:tcPr>
            <w:tcW w:w="949" w:type="dxa"/>
            <w:tcBorders>
              <w:top w:val="nil"/>
              <w:left w:val="nil"/>
              <w:bottom w:val="single" w:sz="4" w:space="0" w:color="auto"/>
              <w:right w:val="single" w:sz="4" w:space="0" w:color="auto"/>
            </w:tcBorders>
            <w:shd w:val="clear" w:color="auto" w:fill="auto"/>
            <w:noWrap/>
            <w:vAlign w:val="bottom"/>
            <w:hideMark/>
          </w:tcPr>
          <w:p w14:paraId="276AD32D"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1.1</w:t>
            </w:r>
          </w:p>
        </w:tc>
      </w:tr>
      <w:tr w:rsidR="00BE3E60" w:rsidRPr="00BE3E60" w14:paraId="70E2B425" w14:textId="77777777" w:rsidTr="002C1CBC">
        <w:trPr>
          <w:cantSplit/>
          <w:trHeight w:val="300"/>
          <w:jc w:val="center"/>
        </w:trPr>
        <w:tc>
          <w:tcPr>
            <w:tcW w:w="952" w:type="dxa"/>
            <w:vMerge/>
            <w:tcBorders>
              <w:top w:val="nil"/>
              <w:left w:val="single" w:sz="4" w:space="0" w:color="auto"/>
              <w:bottom w:val="single" w:sz="4" w:space="0" w:color="auto"/>
              <w:right w:val="single" w:sz="4" w:space="0" w:color="auto"/>
            </w:tcBorders>
            <w:vAlign w:val="center"/>
            <w:hideMark/>
          </w:tcPr>
          <w:p w14:paraId="139A71F4"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1009" w:type="dxa"/>
            <w:vMerge/>
            <w:tcBorders>
              <w:top w:val="nil"/>
              <w:left w:val="single" w:sz="4" w:space="0" w:color="auto"/>
              <w:bottom w:val="single" w:sz="4" w:space="0" w:color="auto"/>
              <w:right w:val="single" w:sz="4" w:space="0" w:color="auto"/>
            </w:tcBorders>
            <w:vAlign w:val="center"/>
            <w:hideMark/>
          </w:tcPr>
          <w:p w14:paraId="271260A1" w14:textId="77777777" w:rsidR="00BE3E60" w:rsidRPr="00BE3E60" w:rsidRDefault="00BE3E60" w:rsidP="00BE3E60">
            <w:pPr>
              <w:overflowPunct/>
              <w:autoSpaceDE/>
              <w:autoSpaceDN/>
              <w:adjustRightInd/>
              <w:spacing w:after="0"/>
              <w:textAlignment w:val="auto"/>
              <w:rPr>
                <w:rFonts w:ascii="Calibri" w:hAnsi="Calibri"/>
                <w:color w:val="000000"/>
                <w:lang w:eastAsia="en-GB"/>
              </w:rPr>
            </w:pPr>
          </w:p>
        </w:tc>
        <w:tc>
          <w:tcPr>
            <w:tcW w:w="957" w:type="dxa"/>
            <w:tcBorders>
              <w:top w:val="nil"/>
              <w:left w:val="nil"/>
              <w:bottom w:val="single" w:sz="4" w:space="0" w:color="auto"/>
              <w:right w:val="single" w:sz="4" w:space="0" w:color="auto"/>
            </w:tcBorders>
            <w:shd w:val="clear" w:color="auto" w:fill="auto"/>
            <w:noWrap/>
            <w:vAlign w:val="bottom"/>
            <w:hideMark/>
          </w:tcPr>
          <w:p w14:paraId="0711C2CE"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12@0</w:t>
            </w:r>
          </w:p>
        </w:tc>
        <w:tc>
          <w:tcPr>
            <w:tcW w:w="952" w:type="dxa"/>
            <w:tcBorders>
              <w:top w:val="nil"/>
              <w:left w:val="nil"/>
              <w:bottom w:val="single" w:sz="4" w:space="0" w:color="auto"/>
              <w:right w:val="single" w:sz="4" w:space="0" w:color="auto"/>
            </w:tcBorders>
            <w:shd w:val="clear" w:color="auto" w:fill="auto"/>
            <w:noWrap/>
            <w:vAlign w:val="bottom"/>
            <w:hideMark/>
          </w:tcPr>
          <w:p w14:paraId="4F6B02CC"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OBW</w:t>
            </w:r>
          </w:p>
        </w:tc>
        <w:tc>
          <w:tcPr>
            <w:tcW w:w="949" w:type="dxa"/>
            <w:tcBorders>
              <w:top w:val="nil"/>
              <w:left w:val="nil"/>
              <w:bottom w:val="single" w:sz="4" w:space="0" w:color="auto"/>
              <w:right w:val="single" w:sz="4" w:space="0" w:color="auto"/>
            </w:tcBorders>
            <w:shd w:val="clear" w:color="auto" w:fill="auto"/>
            <w:noWrap/>
            <w:vAlign w:val="bottom"/>
            <w:hideMark/>
          </w:tcPr>
          <w:p w14:paraId="57571B28"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2.2</w:t>
            </w:r>
          </w:p>
        </w:tc>
        <w:tc>
          <w:tcPr>
            <w:tcW w:w="952" w:type="dxa"/>
            <w:tcBorders>
              <w:top w:val="nil"/>
              <w:left w:val="nil"/>
              <w:bottom w:val="single" w:sz="4" w:space="0" w:color="auto"/>
              <w:right w:val="single" w:sz="4" w:space="0" w:color="auto"/>
            </w:tcBorders>
            <w:shd w:val="clear" w:color="auto" w:fill="auto"/>
            <w:noWrap/>
            <w:vAlign w:val="bottom"/>
            <w:hideMark/>
          </w:tcPr>
          <w:p w14:paraId="43B9BF92"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OBW</w:t>
            </w:r>
          </w:p>
        </w:tc>
        <w:tc>
          <w:tcPr>
            <w:tcW w:w="949" w:type="dxa"/>
            <w:tcBorders>
              <w:top w:val="nil"/>
              <w:left w:val="nil"/>
              <w:bottom w:val="single" w:sz="4" w:space="0" w:color="auto"/>
              <w:right w:val="single" w:sz="4" w:space="0" w:color="auto"/>
            </w:tcBorders>
            <w:shd w:val="clear" w:color="auto" w:fill="auto"/>
            <w:noWrap/>
            <w:vAlign w:val="bottom"/>
            <w:hideMark/>
          </w:tcPr>
          <w:p w14:paraId="47F72F69" w14:textId="77777777" w:rsidR="00BE3E60" w:rsidRPr="00BE3E60" w:rsidRDefault="00BE3E60" w:rsidP="00BE3E60">
            <w:pPr>
              <w:overflowPunct/>
              <w:autoSpaceDE/>
              <w:autoSpaceDN/>
              <w:adjustRightInd/>
              <w:spacing w:after="0"/>
              <w:jc w:val="center"/>
              <w:textAlignment w:val="auto"/>
              <w:rPr>
                <w:rFonts w:ascii="Calibri" w:hAnsi="Calibri"/>
                <w:color w:val="000000"/>
                <w:lang w:eastAsia="en-GB"/>
              </w:rPr>
            </w:pPr>
            <w:r w:rsidRPr="00BE3E60">
              <w:rPr>
                <w:rFonts w:ascii="Calibri" w:hAnsi="Calibri"/>
                <w:color w:val="000000"/>
                <w:lang w:eastAsia="en-GB"/>
              </w:rPr>
              <w:t>2.3</w:t>
            </w:r>
          </w:p>
        </w:tc>
      </w:tr>
    </w:tbl>
    <w:p w14:paraId="674A4086" w14:textId="77777777" w:rsidR="00BE3E60" w:rsidRDefault="00BE3E60" w:rsidP="00723E1B">
      <w:pPr>
        <w:jc w:val="center"/>
      </w:pPr>
    </w:p>
    <w:p w14:paraId="37006C4C" w14:textId="3D08F1DE" w:rsidR="00723E1B" w:rsidRDefault="0075125D" w:rsidP="0075125D">
      <w:r>
        <w:t>The obtained MPR values are mostly lower that in our previous contribution [3] because of a change in the calibration reference for the PA model</w:t>
      </w:r>
      <w:r w:rsidR="00483CB7">
        <w:t xml:space="preserve"> </w:t>
      </w:r>
      <w:r w:rsidR="002B3DA8">
        <w:t xml:space="preserve">which </w:t>
      </w:r>
      <w:r>
        <w:t>resulted in improved linearity.</w:t>
      </w:r>
    </w:p>
    <w:p w14:paraId="109CFBF1" w14:textId="58E6EAC6" w:rsidR="002919A1" w:rsidRDefault="002919A1" w:rsidP="000373B2">
      <w:r>
        <w:t>The MPR results for PC3</w:t>
      </w:r>
      <w:r w:rsidR="00B32CA3">
        <w:t>,</w:t>
      </w:r>
      <w:r>
        <w:t xml:space="preserve"> PC5</w:t>
      </w:r>
      <w:r w:rsidR="00B32CA3">
        <w:t xml:space="preserve">, and PC6 </w:t>
      </w:r>
      <w:r>
        <w:t>are similar because they are in all cases determined by relative requirements (EVM, IBE, OBW) rather than the absolute SEM requirement.</w:t>
      </w:r>
      <w:r w:rsidR="00E2584F">
        <w:t xml:space="preserve"> </w:t>
      </w:r>
    </w:p>
    <w:p w14:paraId="424401BF" w14:textId="77777777" w:rsidR="0073496C" w:rsidRDefault="00A46001" w:rsidP="00832E1C">
      <w:pPr>
        <w:pStyle w:val="Heading1"/>
      </w:pPr>
      <w:r>
        <w:t>4</w:t>
      </w:r>
      <w:r w:rsidR="0073496C">
        <w:tab/>
        <w:t>Conclusion</w:t>
      </w:r>
      <w:r w:rsidR="00F1354A">
        <w:t>s</w:t>
      </w:r>
    </w:p>
    <w:p w14:paraId="4603E68F" w14:textId="064BA8F5" w:rsidR="00C8539D" w:rsidRDefault="00F913C5" w:rsidP="00832E1C">
      <w:pPr>
        <w:keepNext/>
      </w:pPr>
      <w:r>
        <w:t>We presented</w:t>
      </w:r>
      <w:r w:rsidR="00846443">
        <w:t xml:space="preserve"> </w:t>
      </w:r>
      <w:r w:rsidR="00F95169">
        <w:t xml:space="preserve">two </w:t>
      </w:r>
      <w:r w:rsidR="00846443">
        <w:t xml:space="preserve">modifications for NB-IoT IBE </w:t>
      </w:r>
      <w:r w:rsidR="00881759">
        <w:t>mask</w:t>
      </w:r>
      <w:r w:rsidR="00325BFA">
        <w:t xml:space="preserve">, </w:t>
      </w:r>
      <w:r w:rsidR="007E6482">
        <w:t>requested</w:t>
      </w:r>
      <w:r w:rsidR="00325BFA">
        <w:t xml:space="preserve"> in CR [5]</w:t>
      </w:r>
      <w:r w:rsidR="00DB0833">
        <w:t>.</w:t>
      </w:r>
    </w:p>
    <w:p w14:paraId="6D716690" w14:textId="4707BF39" w:rsidR="00E8045C" w:rsidRDefault="00E8045C" w:rsidP="00D630BB">
      <w:pPr>
        <w:rPr>
          <w:b/>
          <w:bCs/>
        </w:rPr>
      </w:pPr>
      <w:r w:rsidRPr="00877306">
        <w:rPr>
          <w:b/>
          <w:bCs/>
        </w:rPr>
        <w:t xml:space="preserve">Proposal 1: </w:t>
      </w:r>
      <w:r w:rsidR="00295A51">
        <w:rPr>
          <w:b/>
          <w:bCs/>
        </w:rPr>
        <w:t>Numerically</w:t>
      </w:r>
      <w:r>
        <w:rPr>
          <w:b/>
          <w:bCs/>
        </w:rPr>
        <w:t>, t</w:t>
      </w:r>
      <w:r w:rsidRPr="00877306">
        <w:rPr>
          <w:b/>
          <w:bCs/>
        </w:rPr>
        <w:t xml:space="preserve">he NB-IoT IBE mask </w:t>
      </w:r>
      <w:r w:rsidR="00CE53B8" w:rsidRPr="00877306">
        <w:rPr>
          <w:b/>
          <w:bCs/>
        </w:rPr>
        <w:t xml:space="preserve">for pi/2-BPSK and QPSK </w:t>
      </w:r>
      <w:r w:rsidRPr="00877306">
        <w:rPr>
          <w:b/>
          <w:bCs/>
        </w:rPr>
        <w:t>should not change significantly.</w:t>
      </w:r>
    </w:p>
    <w:p w14:paraId="77D2F8B6" w14:textId="493AD3A1" w:rsidR="00D630BB" w:rsidRDefault="00D630BB" w:rsidP="0044664E">
      <w:pPr>
        <w:keepNext/>
        <w:rPr>
          <w:b/>
          <w:bCs/>
        </w:rPr>
      </w:pPr>
      <w:r>
        <w:rPr>
          <w:b/>
          <w:bCs/>
        </w:rPr>
        <w:lastRenderedPageBreak/>
        <w:t xml:space="preserve">Proposal </w:t>
      </w:r>
      <w:r w:rsidR="00E8045C">
        <w:rPr>
          <w:b/>
          <w:bCs/>
        </w:rPr>
        <w:t>2</w:t>
      </w:r>
      <w:r>
        <w:rPr>
          <w:b/>
          <w:bCs/>
        </w:rPr>
        <w:t xml:space="preserve">: Define the second General formula of </w:t>
      </w:r>
      <w:r w:rsidRPr="006112E5">
        <w:rPr>
          <w:b/>
          <w:bCs/>
        </w:rPr>
        <w:t>NB-IoT IBE mask</w:t>
      </w:r>
      <w:r>
        <w:rPr>
          <w:b/>
          <w:bCs/>
        </w:rPr>
        <w:t xml:space="preserve"> as</w:t>
      </w:r>
    </w:p>
    <w:p w14:paraId="739C594C" w14:textId="77777777" w:rsidR="00D630BB" w:rsidRDefault="00D630BB" w:rsidP="00D630BB">
      <m:oMathPara>
        <m:oMath>
          <m:r>
            <m:rPr>
              <m:sty m:val="bi"/>
            </m:rPr>
            <w:rPr>
              <w:rFonts w:ascii="Cambria Math" w:cs="Arial"/>
              <w:lang w:eastAsia="ja-JP"/>
            </w:rPr>
            <m:t xml:space="preserve">20 </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cs="Arial"/>
                      <w:lang w:eastAsia="ja-JP"/>
                    </w:rPr>
                    <m:t>log</m:t>
                  </m:r>
                </m:e>
                <m:sub>
                  <m:r>
                    <m:rPr>
                      <m:sty m:val="bi"/>
                    </m:rPr>
                    <w:rPr>
                      <w:rFonts w:ascii="Cambria Math" w:cs="Arial"/>
                      <w:lang w:eastAsia="ja-JP"/>
                    </w:rPr>
                    <m:t>10</m:t>
                  </m:r>
                </m:sub>
              </m:sSub>
            </m:fName>
            <m:e>
              <m:r>
                <m:rPr>
                  <m:sty m:val="bi"/>
                </m:rPr>
                <w:rPr>
                  <w:rFonts w:ascii="Cambria Math" w:cs="Arial"/>
                  <w:lang w:eastAsia="ja-JP"/>
                </w:rPr>
                <m:t>EVM</m:t>
              </m:r>
            </m:e>
          </m:func>
          <m:r>
            <m:rPr>
              <m:sty m:val="bi"/>
            </m:rPr>
            <w:rPr>
              <w:rFonts w:ascii="Cambria Math" w:cs="Arial"/>
              <w:lang w:eastAsia="ja-JP"/>
            </w:rPr>
            <m:t>-</m:t>
          </m:r>
          <m:r>
            <m:rPr>
              <m:sty m:val="bi"/>
            </m:rPr>
            <w:rPr>
              <w:rFonts w:ascii="Cambria Math" w:cs="Arial"/>
              <w:lang w:eastAsia="ja-JP"/>
            </w:rPr>
            <m:t>3</m:t>
          </m:r>
          <m:r>
            <m:rPr>
              <m:sty m:val="bi"/>
            </m:rPr>
            <w:rPr>
              <w:rFonts w:ascii="Cambria Math" w:cs="Arial"/>
              <w:lang w:eastAsia="ja-JP"/>
            </w:rPr>
            <m:t>-</m:t>
          </m:r>
          <m:r>
            <m:rPr>
              <m:sty m:val="bi"/>
            </m:rPr>
            <w:rPr>
              <w:rFonts w:ascii="Cambria Math" w:cs="Arial"/>
              <w:lang w:eastAsia="ja-JP"/>
            </w:rPr>
            <m:t>5</m:t>
          </m:r>
          <m:r>
            <m:rPr>
              <m:sty m:val="bi"/>
            </m:rPr>
            <w:rPr>
              <w:rFonts w:ascii="Cambria Math" w:hAnsi="Cambria Math" w:cs="Cambria Math"/>
              <w:lang w:eastAsia="ja-JP"/>
            </w:rPr>
            <m:t>⋅</m:t>
          </m:r>
          <m:r>
            <m:rPr>
              <m:sty m:val="bi"/>
            </m:rPr>
            <w:rPr>
              <w:rFonts w:ascii="Cambria Math" w:cs="Arial"/>
              <w:lang w:eastAsia="ja-JP"/>
            </w:rPr>
            <m:t>(</m:t>
          </m:r>
          <m:d>
            <m:dPr>
              <m:begChr m:val="|"/>
              <m:endChr m:val="|"/>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cs="Arial"/>
                      <w:lang w:eastAsia="ja-JP"/>
                    </w:rPr>
                    <m:t>Δ</m:t>
                  </m:r>
                </m:e>
                <m:sub>
                  <m:r>
                    <m:rPr>
                      <m:sty m:val="bi"/>
                    </m:rPr>
                    <w:rPr>
                      <w:rFonts w:ascii="Cambria Math" w:cs="Arial"/>
                      <w:lang w:eastAsia="ja-JP"/>
                    </w:rPr>
                    <m:t>tone</m:t>
                  </m:r>
                </m:sub>
              </m:sSub>
            </m:e>
          </m:d>
          <m:r>
            <m:rPr>
              <m:sty m:val="bi"/>
            </m:rPr>
            <w:rPr>
              <w:rFonts w:ascii="Cambria Math" w:cs="Arial"/>
              <w:lang w:eastAsia="ja-JP"/>
            </w:rPr>
            <m:t>-</m:t>
          </m:r>
          <m:r>
            <m:rPr>
              <m:sty m:val="bi"/>
            </m:rPr>
            <w:rPr>
              <w:rFonts w:ascii="Cambria Math" w:cs="Arial"/>
              <w:lang w:eastAsia="ja-JP"/>
            </w:rPr>
            <m:t>1)/</m:t>
          </m:r>
          <m:sSub>
            <m:sSubPr>
              <m:ctrlPr>
                <w:rPr>
                  <w:rFonts w:ascii="Cambria Math" w:hAnsi="Cambria Math" w:cs="Arial"/>
                  <w:b/>
                  <w:bCs/>
                  <w:i/>
                  <w:lang w:eastAsia="ja-JP"/>
                </w:rPr>
              </m:ctrlPr>
            </m:sSubPr>
            <m:e>
              <m:r>
                <m:rPr>
                  <m:sty m:val="bi"/>
                </m:rPr>
                <w:rPr>
                  <w:rFonts w:ascii="Cambria Math" w:cs="Arial"/>
                  <w:lang w:eastAsia="ja-JP"/>
                </w:rPr>
                <m:t>L</m:t>
              </m:r>
            </m:e>
            <m:sub>
              <m:r>
                <m:rPr>
                  <m:sty m:val="bi"/>
                </m:rPr>
                <w:rPr>
                  <w:rFonts w:ascii="Cambria Math" w:cs="Arial"/>
                  <w:lang w:eastAsia="ja-JP"/>
                </w:rPr>
                <m:t>Ctone</m:t>
              </m:r>
            </m:sub>
          </m:sSub>
          <m:r>
            <m:rPr>
              <m:sty m:val="bi"/>
            </m:rPr>
            <w:rPr>
              <w:rFonts w:ascii="Cambria Math" w:hAnsi="Cambria Math" w:cs="Arial"/>
              <w:lang w:eastAsia="ja-JP"/>
            </w:rPr>
            <m:t>.</m:t>
          </m:r>
        </m:oMath>
      </m:oMathPara>
    </w:p>
    <w:p w14:paraId="5B8178BE" w14:textId="70D5A452" w:rsidR="00D630BB" w:rsidRDefault="00D630BB" w:rsidP="0044664E">
      <w:pPr>
        <w:keepNext/>
        <w:rPr>
          <w:b/>
          <w:bCs/>
        </w:rPr>
      </w:pPr>
      <w:r w:rsidRPr="006112E5">
        <w:rPr>
          <w:b/>
          <w:bCs/>
        </w:rPr>
        <w:t>Proposal</w:t>
      </w:r>
      <w:r>
        <w:rPr>
          <w:b/>
          <w:bCs/>
        </w:rPr>
        <w:t xml:space="preserve"> </w:t>
      </w:r>
      <w:r w:rsidR="00E8045C">
        <w:rPr>
          <w:b/>
          <w:bCs/>
        </w:rPr>
        <w:t>3</w:t>
      </w:r>
      <w:r w:rsidRPr="006112E5">
        <w:rPr>
          <w:b/>
          <w:bCs/>
        </w:rPr>
        <w:t xml:space="preserve">: </w:t>
      </w:r>
      <w:r>
        <w:rPr>
          <w:b/>
          <w:bCs/>
        </w:rPr>
        <w:t xml:space="preserve">Define the first General formula of </w:t>
      </w:r>
      <w:r w:rsidRPr="006112E5">
        <w:rPr>
          <w:b/>
          <w:bCs/>
        </w:rPr>
        <w:t>NB-IoT IBE mask</w:t>
      </w:r>
      <w:r>
        <w:rPr>
          <w:b/>
          <w:bCs/>
        </w:rPr>
        <w:t xml:space="preserve"> as</w:t>
      </w:r>
    </w:p>
    <w:p w14:paraId="1101FD99" w14:textId="526BD30D" w:rsidR="00D630BB" w:rsidRPr="00B372F4" w:rsidRDefault="00D630BB" w:rsidP="00D630BB">
      <w:pPr>
        <w:rPr>
          <w:b/>
          <w:bCs/>
          <w:lang w:eastAsia="ja-JP"/>
        </w:rPr>
      </w:pPr>
      <m:oMathPara>
        <m:oMath>
          <m:r>
            <m:rPr>
              <m:sty m:val="bi"/>
            </m:rPr>
            <w:rPr>
              <w:rFonts w:ascii="Cambria Math" w:hAnsi="Cambria Math" w:cs="Arial"/>
              <w:lang w:eastAsia="ja-JP"/>
            </w:rPr>
            <m:t>20∙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r>
                <m:rPr>
                  <m:sty m:val="bi"/>
                </m:rPr>
                <w:rPr>
                  <w:rFonts w:ascii="Cambria Math" w:hAnsi="Cambria Math" w:cs="Arial"/>
                  <w:lang w:eastAsia="ja-JP"/>
                </w:rPr>
                <m:t>EVM</m:t>
              </m:r>
            </m:e>
          </m:func>
          <m:r>
            <m:rPr>
              <m:sty m:val="bi"/>
            </m:rPr>
            <w:rPr>
              <w:rFonts w:ascii="Cambria Math" w:hAnsi="Cambria Math" w:cs="Arial"/>
              <w:lang w:eastAsia="ja-JP"/>
            </w:rPr>
            <m:t>-10∙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d>
                <m:dPr>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hAnsi="Cambria Math" w:cs="Arial"/>
                          <w:lang w:eastAsia="ja-JP"/>
                        </w:rPr>
                        <m:t>N</m:t>
                      </m:r>
                    </m:e>
                    <m:sub>
                      <m:r>
                        <m:rPr>
                          <m:sty m:val="bi"/>
                        </m:rPr>
                        <w:rPr>
                          <w:rFonts w:ascii="Cambria Math" w:hAnsi="Cambria Math" w:cs="Arial"/>
                          <w:lang w:eastAsia="ja-JP"/>
                        </w:rPr>
                        <m:t>tone</m:t>
                      </m:r>
                    </m:sub>
                  </m:sSub>
                  <m:r>
                    <m:rPr>
                      <m:sty m:val="bi"/>
                    </m:rPr>
                    <w:rPr>
                      <w:rFonts w:ascii="Cambria Math" w:hAnsi="Cambria Math" w:cs="Arial"/>
                      <w:lang w:eastAsia="ja-JP"/>
                    </w:rPr>
                    <m:t>/</m:t>
                  </m:r>
                  <m:sSub>
                    <m:sSubPr>
                      <m:ctrlPr>
                        <w:rPr>
                          <w:rFonts w:ascii="Cambria Math" w:hAnsi="Cambria Math" w:cs="Arial"/>
                          <w:b/>
                          <w:bCs/>
                          <w:i/>
                          <w:lang w:eastAsia="ja-JP"/>
                        </w:rPr>
                      </m:ctrlPr>
                    </m:sSubPr>
                    <m:e>
                      <m:r>
                        <m:rPr>
                          <m:sty m:val="bi"/>
                        </m:rPr>
                        <w:rPr>
                          <w:rFonts w:ascii="Cambria Math" w:hAnsi="Cambria Math" w:cs="Arial"/>
                          <w:lang w:eastAsia="ja-JP"/>
                        </w:rPr>
                        <m:t>L</m:t>
                      </m:r>
                    </m:e>
                    <m:sub>
                      <m:r>
                        <m:rPr>
                          <m:sty m:val="bi"/>
                        </m:rPr>
                        <w:rPr>
                          <w:rFonts w:ascii="Cambria Math" w:hAnsi="Cambria Math" w:cs="Arial"/>
                          <w:lang w:eastAsia="ja-JP"/>
                        </w:rPr>
                        <m:t>Ctone</m:t>
                      </m:r>
                    </m:sub>
                  </m:sSub>
                </m:e>
              </m:d>
            </m:e>
          </m:func>
          <m:r>
            <m:rPr>
              <m:sty m:val="bi"/>
            </m:rPr>
            <w:rPr>
              <w:rFonts w:ascii="Cambria Math" w:hAnsi="Cambria Math"/>
              <w:lang w:eastAsia="ja-JP"/>
            </w:rPr>
            <m:t>.</m:t>
          </m:r>
        </m:oMath>
      </m:oMathPara>
    </w:p>
    <w:p w14:paraId="0D8C7E0E" w14:textId="696DE6C2" w:rsidR="00B372F4" w:rsidRPr="002C1CBC" w:rsidRDefault="00B372F4" w:rsidP="00D630BB">
      <w:pPr>
        <w:rPr>
          <w:lang w:eastAsia="ja-JP"/>
        </w:rPr>
      </w:pPr>
      <w:r w:rsidRPr="002C1CBC">
        <w:rPr>
          <w:lang w:eastAsia="ja-JP"/>
        </w:rPr>
        <w:t>Also</w:t>
      </w:r>
      <w:r w:rsidR="009F0A75">
        <w:rPr>
          <w:lang w:eastAsia="ja-JP"/>
        </w:rPr>
        <w:t>,</w:t>
      </w:r>
      <w:r w:rsidRPr="002C1CBC">
        <w:rPr>
          <w:lang w:eastAsia="ja-JP"/>
        </w:rPr>
        <w:t xml:space="preserve"> we </w:t>
      </w:r>
      <w:r>
        <w:rPr>
          <w:lang w:eastAsia="ja-JP"/>
        </w:rPr>
        <w:t>repeated the EVM limit proposal:</w:t>
      </w:r>
    </w:p>
    <w:p w14:paraId="096F0E0B" w14:textId="4F0DE004" w:rsidR="00D630BB" w:rsidRDefault="00D630BB" w:rsidP="00832E1C">
      <w:pPr>
        <w:keepNext/>
        <w:jc w:val="both"/>
        <w:rPr>
          <w:b/>
          <w:bCs/>
        </w:rPr>
      </w:pPr>
      <w:r>
        <w:rPr>
          <w:b/>
          <w:bCs/>
        </w:rPr>
        <w:t xml:space="preserve">Proposal </w:t>
      </w:r>
      <w:r w:rsidR="00E8045C">
        <w:rPr>
          <w:b/>
          <w:bCs/>
        </w:rPr>
        <w:t>4</w:t>
      </w:r>
      <w:r>
        <w:rPr>
          <w:b/>
          <w:bCs/>
        </w:rPr>
        <w:t>: For NB-IoT UL with 16-QAM modulation, use the EVM limit of 12.5 %.</w:t>
      </w:r>
    </w:p>
    <w:p w14:paraId="7E324E69" w14:textId="0F30AECD" w:rsidR="00D630BB" w:rsidRDefault="00D630BB" w:rsidP="002C1CBC">
      <w:r>
        <w:t xml:space="preserve">Furthermore, we </w:t>
      </w:r>
      <w:r w:rsidR="005A5A54">
        <w:t>provide</w:t>
      </w:r>
      <w:r w:rsidR="008C0679">
        <w:t>d</w:t>
      </w:r>
      <w:r>
        <w:t xml:space="preserve"> MPR simulation results for 16-QAM in NB-IoT, for PC3, PC5, and PC6. For small allocations, the simulated MPR values are gated by the IBE. For wide allocations, the simulated MPR values are gated by the EVM or OBW. </w:t>
      </w:r>
      <w:r w:rsidR="007D1BE1">
        <w:t>Two m</w:t>
      </w:r>
      <w:r>
        <w:t>odified IBE masks [2]</w:t>
      </w:r>
      <w:r w:rsidR="0019446A">
        <w:t>[</w:t>
      </w:r>
      <w:r w:rsidR="00950DBE">
        <w:t>5</w:t>
      </w:r>
      <w:r>
        <w:t xml:space="preserve">] </w:t>
      </w:r>
      <w:r w:rsidR="007D1BE1">
        <w:t xml:space="preserve">were </w:t>
      </w:r>
      <w:r>
        <w:t>used, based on the modulation-specific EVM limit.</w:t>
      </w:r>
      <w:r w:rsidR="00084105">
        <w:t xml:space="preserve"> The differences from our previous simulation results are </w:t>
      </w:r>
      <w:r w:rsidR="00FC60E2">
        <w:t xml:space="preserve">mostly </w:t>
      </w:r>
      <w:r w:rsidR="00084105">
        <w:t>due to a change in the PA model calibration criteria</w:t>
      </w:r>
      <w:r w:rsidR="007A32D1">
        <w:t xml:space="preserve"> which resulted in a more linear PA model.</w:t>
      </w:r>
    </w:p>
    <w:p w14:paraId="1EB0E48D" w14:textId="77777777" w:rsidR="00020F23" w:rsidRDefault="00A46001" w:rsidP="00F22F8B">
      <w:pPr>
        <w:pStyle w:val="Heading1"/>
      </w:pPr>
      <w:r>
        <w:t>5</w:t>
      </w:r>
      <w:r w:rsidR="00020F23">
        <w:tab/>
        <w:t>References</w:t>
      </w:r>
    </w:p>
    <w:p w14:paraId="4764BF8D" w14:textId="0DC01109" w:rsidR="00F66123" w:rsidRDefault="00F35D50" w:rsidP="002C1CBC">
      <w:pPr>
        <w:keepNext/>
      </w:pPr>
      <w:r>
        <w:t>[1]</w:t>
      </w:r>
      <w:r w:rsidR="00F66123">
        <w:t xml:space="preserve"> </w:t>
      </w:r>
      <w:r w:rsidR="00F66123" w:rsidRPr="00F66123">
        <w:t>R4-2105433</w:t>
      </w:r>
      <w:r w:rsidR="00F66123">
        <w:t xml:space="preserve">, </w:t>
      </w:r>
      <w:r w:rsidR="00F66123" w:rsidRPr="00F66123">
        <w:t>Way forward on UE RF requirements for R17 NB-IoT 16QAM</w:t>
      </w:r>
      <w:r w:rsidR="00F66123">
        <w:t xml:space="preserve">, Nokia, </w:t>
      </w:r>
      <w:r w:rsidR="00F66123" w:rsidRPr="00340F49">
        <w:t>RAN4#98-bis-e</w:t>
      </w:r>
    </w:p>
    <w:p w14:paraId="7D5E8891" w14:textId="34AB6B71" w:rsidR="006365D2" w:rsidRPr="00DF7C6F" w:rsidRDefault="00F35D50" w:rsidP="002C1CBC">
      <w:pPr>
        <w:keepNext/>
      </w:pPr>
      <w:r w:rsidRPr="002A4713">
        <w:t>[2]</w:t>
      </w:r>
      <w:r w:rsidR="00340F49" w:rsidRPr="00E8045C">
        <w:t xml:space="preserve"> </w:t>
      </w:r>
      <w:r w:rsidR="00340F49" w:rsidRPr="009509A9">
        <w:t xml:space="preserve">R4-2108978, </w:t>
      </w:r>
      <w:r w:rsidR="00220D57" w:rsidRPr="009509A9">
        <w:t xml:space="preserve">(CR) </w:t>
      </w:r>
      <w:r w:rsidR="00340F49" w:rsidRPr="00B97278">
        <w:t>EVM limit in NB-IoT IBE mask</w:t>
      </w:r>
      <w:r w:rsidR="00340F49" w:rsidRPr="006C099C">
        <w:t xml:space="preserve">, Nokia, </w:t>
      </w:r>
      <w:r w:rsidR="00340F49" w:rsidRPr="00363EE9">
        <w:t>RAN4#9</w:t>
      </w:r>
      <w:r w:rsidR="00340F49" w:rsidRPr="00DF7C6F">
        <w:t>9-e</w:t>
      </w:r>
    </w:p>
    <w:p w14:paraId="672F2283" w14:textId="2F459FB9" w:rsidR="0098679F" w:rsidRDefault="002455F7" w:rsidP="002C1CBC">
      <w:pPr>
        <w:keepNext/>
      </w:pPr>
      <w:r w:rsidRPr="0044664E">
        <w:t>[3]</w:t>
      </w:r>
      <w:r w:rsidR="0098679F" w:rsidRPr="0044664E">
        <w:t xml:space="preserve"> R4-2109948,</w:t>
      </w:r>
      <w:r w:rsidR="0098679F">
        <w:t xml:space="preserve"> </w:t>
      </w:r>
      <w:r w:rsidR="0066215A">
        <w:t>MPR for NB-IoT 16-QAM, Nokia, RAN4#99-e</w:t>
      </w:r>
    </w:p>
    <w:p w14:paraId="355AF167" w14:textId="2B1D55E6" w:rsidR="0066215A" w:rsidRDefault="002455F7" w:rsidP="002C1CBC">
      <w:pPr>
        <w:keepNext/>
      </w:pPr>
      <w:r>
        <w:t>[4]</w:t>
      </w:r>
      <w:r w:rsidR="0066215A">
        <w:t xml:space="preserve"> </w:t>
      </w:r>
      <w:r w:rsidR="0066215A" w:rsidRPr="0066215A">
        <w:t>R4- 2111295</w:t>
      </w:r>
      <w:r w:rsidR="0066215A">
        <w:t xml:space="preserve">, </w:t>
      </w:r>
      <w:r w:rsidR="0066215A" w:rsidRPr="0066215A">
        <w:t>Discussion on UE RF requirements for 16QAM NB-IoT Uplink</w:t>
      </w:r>
      <w:r w:rsidR="0066215A">
        <w:t xml:space="preserve">, Huawei, HiSilicon, </w:t>
      </w:r>
      <w:r w:rsidR="0066215A" w:rsidRPr="0066215A">
        <w:t>RAN4#99-e</w:t>
      </w:r>
    </w:p>
    <w:p w14:paraId="6703ABE9" w14:textId="0B6F369A" w:rsidR="006F5E74" w:rsidRDefault="002455F7" w:rsidP="00F1354A">
      <w:r>
        <w:t>[5]</w:t>
      </w:r>
      <w:r w:rsidR="006F5E74">
        <w:t xml:space="preserve"> </w:t>
      </w:r>
      <w:r w:rsidR="006F5E74" w:rsidRPr="006F5E74">
        <w:t>R4-2114002</w:t>
      </w:r>
      <w:r w:rsidR="006F5E74">
        <w:t>,</w:t>
      </w:r>
      <w:r w:rsidR="006F5E74" w:rsidRPr="006F5E74">
        <w:t xml:space="preserve"> CR on NB-IoT IBE mask to allow 16-QAM</w:t>
      </w:r>
      <w:r w:rsidR="006F5E74">
        <w:t>, Nokia, RAN4#100-e</w:t>
      </w:r>
    </w:p>
    <w:sectPr w:rsidR="006F5E74"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C924D" w14:textId="77777777" w:rsidR="003740B9" w:rsidRDefault="003740B9" w:rsidP="002B3503">
      <w:pPr>
        <w:spacing w:after="0"/>
      </w:pPr>
      <w:r>
        <w:separator/>
      </w:r>
    </w:p>
  </w:endnote>
  <w:endnote w:type="continuationSeparator" w:id="0">
    <w:p w14:paraId="2E36F165" w14:textId="77777777" w:rsidR="003740B9" w:rsidRDefault="003740B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2E617" w14:textId="77777777" w:rsidR="003740B9" w:rsidRDefault="003740B9" w:rsidP="002B3503">
      <w:pPr>
        <w:spacing w:after="0"/>
      </w:pPr>
      <w:r>
        <w:separator/>
      </w:r>
    </w:p>
  </w:footnote>
  <w:footnote w:type="continuationSeparator" w:id="0">
    <w:p w14:paraId="0C59A81F" w14:textId="77777777" w:rsidR="003740B9" w:rsidRDefault="003740B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94657"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946D8"/>
    <w:multiLevelType w:val="hybridMultilevel"/>
    <w:tmpl w:val="36DAA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377361"/>
    <w:multiLevelType w:val="hybridMultilevel"/>
    <w:tmpl w:val="3E06C03E"/>
    <w:lvl w:ilvl="0" w:tplc="866C5498">
      <w:start w:val="1"/>
      <w:numFmt w:val="bullet"/>
      <w:lvlText w:val="•"/>
      <w:lvlJc w:val="left"/>
      <w:pPr>
        <w:tabs>
          <w:tab w:val="num" w:pos="720"/>
        </w:tabs>
        <w:ind w:left="720" w:hanging="360"/>
      </w:pPr>
      <w:rPr>
        <w:rFonts w:ascii="Arial" w:hAnsi="Arial" w:hint="default"/>
      </w:rPr>
    </w:lvl>
    <w:lvl w:ilvl="1" w:tplc="B92412CA">
      <w:start w:val="1"/>
      <w:numFmt w:val="bullet"/>
      <w:lvlText w:val="•"/>
      <w:lvlJc w:val="left"/>
      <w:pPr>
        <w:tabs>
          <w:tab w:val="num" w:pos="1440"/>
        </w:tabs>
        <w:ind w:left="1440" w:hanging="360"/>
      </w:pPr>
      <w:rPr>
        <w:rFonts w:ascii="Arial" w:hAnsi="Arial" w:hint="default"/>
      </w:rPr>
    </w:lvl>
    <w:lvl w:ilvl="2" w:tplc="18E20CAC">
      <w:start w:val="1"/>
      <w:numFmt w:val="bullet"/>
      <w:lvlText w:val="•"/>
      <w:lvlJc w:val="left"/>
      <w:pPr>
        <w:tabs>
          <w:tab w:val="num" w:pos="2160"/>
        </w:tabs>
        <w:ind w:left="2160" w:hanging="360"/>
      </w:pPr>
      <w:rPr>
        <w:rFonts w:ascii="Arial" w:hAnsi="Arial" w:hint="default"/>
      </w:rPr>
    </w:lvl>
    <w:lvl w:ilvl="3" w:tplc="89C6E7B2" w:tentative="1">
      <w:start w:val="1"/>
      <w:numFmt w:val="bullet"/>
      <w:lvlText w:val="•"/>
      <w:lvlJc w:val="left"/>
      <w:pPr>
        <w:tabs>
          <w:tab w:val="num" w:pos="2880"/>
        </w:tabs>
        <w:ind w:left="2880" w:hanging="360"/>
      </w:pPr>
      <w:rPr>
        <w:rFonts w:ascii="Arial" w:hAnsi="Arial" w:hint="default"/>
      </w:rPr>
    </w:lvl>
    <w:lvl w:ilvl="4" w:tplc="2744BAF0" w:tentative="1">
      <w:start w:val="1"/>
      <w:numFmt w:val="bullet"/>
      <w:lvlText w:val="•"/>
      <w:lvlJc w:val="left"/>
      <w:pPr>
        <w:tabs>
          <w:tab w:val="num" w:pos="3600"/>
        </w:tabs>
        <w:ind w:left="3600" w:hanging="360"/>
      </w:pPr>
      <w:rPr>
        <w:rFonts w:ascii="Arial" w:hAnsi="Arial" w:hint="default"/>
      </w:rPr>
    </w:lvl>
    <w:lvl w:ilvl="5" w:tplc="23D870D0" w:tentative="1">
      <w:start w:val="1"/>
      <w:numFmt w:val="bullet"/>
      <w:lvlText w:val="•"/>
      <w:lvlJc w:val="left"/>
      <w:pPr>
        <w:tabs>
          <w:tab w:val="num" w:pos="4320"/>
        </w:tabs>
        <w:ind w:left="4320" w:hanging="360"/>
      </w:pPr>
      <w:rPr>
        <w:rFonts w:ascii="Arial" w:hAnsi="Arial" w:hint="default"/>
      </w:rPr>
    </w:lvl>
    <w:lvl w:ilvl="6" w:tplc="40CA06E6" w:tentative="1">
      <w:start w:val="1"/>
      <w:numFmt w:val="bullet"/>
      <w:lvlText w:val="•"/>
      <w:lvlJc w:val="left"/>
      <w:pPr>
        <w:tabs>
          <w:tab w:val="num" w:pos="5040"/>
        </w:tabs>
        <w:ind w:left="5040" w:hanging="360"/>
      </w:pPr>
      <w:rPr>
        <w:rFonts w:ascii="Arial" w:hAnsi="Arial" w:hint="default"/>
      </w:rPr>
    </w:lvl>
    <w:lvl w:ilvl="7" w:tplc="08BC75D0" w:tentative="1">
      <w:start w:val="1"/>
      <w:numFmt w:val="bullet"/>
      <w:lvlText w:val="•"/>
      <w:lvlJc w:val="left"/>
      <w:pPr>
        <w:tabs>
          <w:tab w:val="num" w:pos="5760"/>
        </w:tabs>
        <w:ind w:left="5760" w:hanging="360"/>
      </w:pPr>
      <w:rPr>
        <w:rFonts w:ascii="Arial" w:hAnsi="Arial" w:hint="default"/>
      </w:rPr>
    </w:lvl>
    <w:lvl w:ilvl="8" w:tplc="43F45C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BB6396"/>
    <w:multiLevelType w:val="hybridMultilevel"/>
    <w:tmpl w:val="5628A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1"/>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783"/>
    <w:rsid w:val="000008B4"/>
    <w:rsid w:val="00001194"/>
    <w:rsid w:val="00002875"/>
    <w:rsid w:val="0000645E"/>
    <w:rsid w:val="00020F23"/>
    <w:rsid w:val="00022809"/>
    <w:rsid w:val="00023ADC"/>
    <w:rsid w:val="00025C39"/>
    <w:rsid w:val="00031399"/>
    <w:rsid w:val="0003166C"/>
    <w:rsid w:val="0003263E"/>
    <w:rsid w:val="00032CC8"/>
    <w:rsid w:val="000336AA"/>
    <w:rsid w:val="00033D10"/>
    <w:rsid w:val="000370A5"/>
    <w:rsid w:val="0003728B"/>
    <w:rsid w:val="000373B2"/>
    <w:rsid w:val="00037DDF"/>
    <w:rsid w:val="00042F54"/>
    <w:rsid w:val="000540FA"/>
    <w:rsid w:val="00055D58"/>
    <w:rsid w:val="00060E5B"/>
    <w:rsid w:val="00067129"/>
    <w:rsid w:val="00067294"/>
    <w:rsid w:val="0007039B"/>
    <w:rsid w:val="00072555"/>
    <w:rsid w:val="00072C86"/>
    <w:rsid w:val="00084105"/>
    <w:rsid w:val="00084771"/>
    <w:rsid w:val="0008585F"/>
    <w:rsid w:val="00085BCF"/>
    <w:rsid w:val="00087032"/>
    <w:rsid w:val="0009192B"/>
    <w:rsid w:val="00091F0B"/>
    <w:rsid w:val="000953CF"/>
    <w:rsid w:val="00096508"/>
    <w:rsid w:val="000A0D3E"/>
    <w:rsid w:val="000A2509"/>
    <w:rsid w:val="000A3DFD"/>
    <w:rsid w:val="000A6473"/>
    <w:rsid w:val="000A6A9A"/>
    <w:rsid w:val="000B0C5F"/>
    <w:rsid w:val="000B3B17"/>
    <w:rsid w:val="000B4E56"/>
    <w:rsid w:val="000B4E86"/>
    <w:rsid w:val="000B5E8E"/>
    <w:rsid w:val="000C1F2F"/>
    <w:rsid w:val="000C2E26"/>
    <w:rsid w:val="000C4315"/>
    <w:rsid w:val="000D7352"/>
    <w:rsid w:val="000E2544"/>
    <w:rsid w:val="000E4D14"/>
    <w:rsid w:val="000F0783"/>
    <w:rsid w:val="000F2546"/>
    <w:rsid w:val="000F3D28"/>
    <w:rsid w:val="000F50EC"/>
    <w:rsid w:val="00101626"/>
    <w:rsid w:val="00103568"/>
    <w:rsid w:val="00104DD8"/>
    <w:rsid w:val="001065BF"/>
    <w:rsid w:val="00107F36"/>
    <w:rsid w:val="00110FE5"/>
    <w:rsid w:val="00113359"/>
    <w:rsid w:val="00113DD7"/>
    <w:rsid w:val="0011773A"/>
    <w:rsid w:val="0012001C"/>
    <w:rsid w:val="00122128"/>
    <w:rsid w:val="001221D2"/>
    <w:rsid w:val="00123DF1"/>
    <w:rsid w:val="001245DC"/>
    <w:rsid w:val="00125359"/>
    <w:rsid w:val="001319B8"/>
    <w:rsid w:val="00134796"/>
    <w:rsid w:val="001349F2"/>
    <w:rsid w:val="001364A1"/>
    <w:rsid w:val="00136CD8"/>
    <w:rsid w:val="001458FC"/>
    <w:rsid w:val="00146366"/>
    <w:rsid w:val="0015000E"/>
    <w:rsid w:val="0015578A"/>
    <w:rsid w:val="001568C3"/>
    <w:rsid w:val="00157DE1"/>
    <w:rsid w:val="0016131F"/>
    <w:rsid w:val="001617B4"/>
    <w:rsid w:val="00174AAE"/>
    <w:rsid w:val="001751F1"/>
    <w:rsid w:val="00182520"/>
    <w:rsid w:val="00186E4F"/>
    <w:rsid w:val="00187AC5"/>
    <w:rsid w:val="0019190E"/>
    <w:rsid w:val="00192945"/>
    <w:rsid w:val="0019446A"/>
    <w:rsid w:val="001953B8"/>
    <w:rsid w:val="00196DCB"/>
    <w:rsid w:val="001B2415"/>
    <w:rsid w:val="001B6495"/>
    <w:rsid w:val="001C0D2D"/>
    <w:rsid w:val="001C17C4"/>
    <w:rsid w:val="001C473D"/>
    <w:rsid w:val="001C5BC5"/>
    <w:rsid w:val="001C6153"/>
    <w:rsid w:val="001C7157"/>
    <w:rsid w:val="001C7A85"/>
    <w:rsid w:val="001D0388"/>
    <w:rsid w:val="001D1497"/>
    <w:rsid w:val="001D44A7"/>
    <w:rsid w:val="001D5189"/>
    <w:rsid w:val="001D64A5"/>
    <w:rsid w:val="001E4F63"/>
    <w:rsid w:val="001E6197"/>
    <w:rsid w:val="001E6AAC"/>
    <w:rsid w:val="00202995"/>
    <w:rsid w:val="002127E2"/>
    <w:rsid w:val="00214C87"/>
    <w:rsid w:val="00214CF4"/>
    <w:rsid w:val="00215035"/>
    <w:rsid w:val="0021717F"/>
    <w:rsid w:val="00220D57"/>
    <w:rsid w:val="0022209B"/>
    <w:rsid w:val="002229CE"/>
    <w:rsid w:val="00230F65"/>
    <w:rsid w:val="002403AE"/>
    <w:rsid w:val="0024072D"/>
    <w:rsid w:val="00241BFB"/>
    <w:rsid w:val="00241E14"/>
    <w:rsid w:val="002455F7"/>
    <w:rsid w:val="00250523"/>
    <w:rsid w:val="00256683"/>
    <w:rsid w:val="00257974"/>
    <w:rsid w:val="00260340"/>
    <w:rsid w:val="0026037D"/>
    <w:rsid w:val="00260749"/>
    <w:rsid w:val="00261205"/>
    <w:rsid w:val="002678A2"/>
    <w:rsid w:val="00272048"/>
    <w:rsid w:val="00272469"/>
    <w:rsid w:val="0027258F"/>
    <w:rsid w:val="00273303"/>
    <w:rsid w:val="00275328"/>
    <w:rsid w:val="00276E6A"/>
    <w:rsid w:val="00281643"/>
    <w:rsid w:val="00281BC7"/>
    <w:rsid w:val="0028248D"/>
    <w:rsid w:val="00283EE2"/>
    <w:rsid w:val="00284545"/>
    <w:rsid w:val="00287393"/>
    <w:rsid w:val="002919A1"/>
    <w:rsid w:val="00291DDD"/>
    <w:rsid w:val="00294B92"/>
    <w:rsid w:val="00295A51"/>
    <w:rsid w:val="002A4713"/>
    <w:rsid w:val="002A54F1"/>
    <w:rsid w:val="002A7181"/>
    <w:rsid w:val="002B0784"/>
    <w:rsid w:val="002B0E5A"/>
    <w:rsid w:val="002B3503"/>
    <w:rsid w:val="002B3DA8"/>
    <w:rsid w:val="002B4A08"/>
    <w:rsid w:val="002B520A"/>
    <w:rsid w:val="002B6543"/>
    <w:rsid w:val="002C1CBC"/>
    <w:rsid w:val="002C2C9A"/>
    <w:rsid w:val="002C4844"/>
    <w:rsid w:val="002C4BE3"/>
    <w:rsid w:val="002C6404"/>
    <w:rsid w:val="002C6A59"/>
    <w:rsid w:val="002C7ED9"/>
    <w:rsid w:val="002D1861"/>
    <w:rsid w:val="002D1AB1"/>
    <w:rsid w:val="002D24F8"/>
    <w:rsid w:val="002D2822"/>
    <w:rsid w:val="002D4117"/>
    <w:rsid w:val="002D558A"/>
    <w:rsid w:val="002D5984"/>
    <w:rsid w:val="002D7C03"/>
    <w:rsid w:val="002E14A9"/>
    <w:rsid w:val="002E52B6"/>
    <w:rsid w:val="002F1ECC"/>
    <w:rsid w:val="002F4821"/>
    <w:rsid w:val="002F6A38"/>
    <w:rsid w:val="002F72A4"/>
    <w:rsid w:val="002F73C0"/>
    <w:rsid w:val="0030425C"/>
    <w:rsid w:val="00304DA8"/>
    <w:rsid w:val="00310F86"/>
    <w:rsid w:val="00315150"/>
    <w:rsid w:val="0031666C"/>
    <w:rsid w:val="00317C8C"/>
    <w:rsid w:val="00323FEF"/>
    <w:rsid w:val="00325BFA"/>
    <w:rsid w:val="00325C42"/>
    <w:rsid w:val="003302B3"/>
    <w:rsid w:val="00330489"/>
    <w:rsid w:val="0033426E"/>
    <w:rsid w:val="00340C77"/>
    <w:rsid w:val="00340F49"/>
    <w:rsid w:val="00342578"/>
    <w:rsid w:val="00347DEA"/>
    <w:rsid w:val="00350E26"/>
    <w:rsid w:val="00353F76"/>
    <w:rsid w:val="0035426D"/>
    <w:rsid w:val="00356C91"/>
    <w:rsid w:val="00362DD8"/>
    <w:rsid w:val="00363EE9"/>
    <w:rsid w:val="00371041"/>
    <w:rsid w:val="003732AC"/>
    <w:rsid w:val="00373C87"/>
    <w:rsid w:val="003740B9"/>
    <w:rsid w:val="003777FE"/>
    <w:rsid w:val="003820CD"/>
    <w:rsid w:val="003908A7"/>
    <w:rsid w:val="00392F8F"/>
    <w:rsid w:val="003948BC"/>
    <w:rsid w:val="003A108F"/>
    <w:rsid w:val="003A6807"/>
    <w:rsid w:val="003A7E6B"/>
    <w:rsid w:val="003B131D"/>
    <w:rsid w:val="003B2073"/>
    <w:rsid w:val="003B4D12"/>
    <w:rsid w:val="003B6AA1"/>
    <w:rsid w:val="003C2E80"/>
    <w:rsid w:val="003C42AC"/>
    <w:rsid w:val="003C5458"/>
    <w:rsid w:val="003C6157"/>
    <w:rsid w:val="003C6403"/>
    <w:rsid w:val="003D31DC"/>
    <w:rsid w:val="003D6590"/>
    <w:rsid w:val="003D771D"/>
    <w:rsid w:val="003E31DF"/>
    <w:rsid w:val="003F7C08"/>
    <w:rsid w:val="00400F07"/>
    <w:rsid w:val="004011B8"/>
    <w:rsid w:val="004013D8"/>
    <w:rsid w:val="00401BFE"/>
    <w:rsid w:val="00402DF6"/>
    <w:rsid w:val="004101D1"/>
    <w:rsid w:val="00413B10"/>
    <w:rsid w:val="0041417C"/>
    <w:rsid w:val="00414336"/>
    <w:rsid w:val="004148DE"/>
    <w:rsid w:val="00420A29"/>
    <w:rsid w:val="0042109F"/>
    <w:rsid w:val="00421FB6"/>
    <w:rsid w:val="004232A7"/>
    <w:rsid w:val="00426A90"/>
    <w:rsid w:val="00427ADB"/>
    <w:rsid w:val="0043450E"/>
    <w:rsid w:val="0043686B"/>
    <w:rsid w:val="004369F3"/>
    <w:rsid w:val="00441B18"/>
    <w:rsid w:val="0044664E"/>
    <w:rsid w:val="004524FA"/>
    <w:rsid w:val="004529BC"/>
    <w:rsid w:val="00452C76"/>
    <w:rsid w:val="00453BA5"/>
    <w:rsid w:val="00454E53"/>
    <w:rsid w:val="00456A91"/>
    <w:rsid w:val="00460FF2"/>
    <w:rsid w:val="004611F7"/>
    <w:rsid w:val="00461224"/>
    <w:rsid w:val="004648A2"/>
    <w:rsid w:val="00464EE6"/>
    <w:rsid w:val="004656A0"/>
    <w:rsid w:val="00467D16"/>
    <w:rsid w:val="00467DE5"/>
    <w:rsid w:val="00472EF7"/>
    <w:rsid w:val="00482477"/>
    <w:rsid w:val="00482DDD"/>
    <w:rsid w:val="00483CB7"/>
    <w:rsid w:val="0048725C"/>
    <w:rsid w:val="00491386"/>
    <w:rsid w:val="0049388C"/>
    <w:rsid w:val="00494F18"/>
    <w:rsid w:val="0049615D"/>
    <w:rsid w:val="004A0078"/>
    <w:rsid w:val="004A41DA"/>
    <w:rsid w:val="004B0F3F"/>
    <w:rsid w:val="004B22B0"/>
    <w:rsid w:val="004B3736"/>
    <w:rsid w:val="004B3EF9"/>
    <w:rsid w:val="004B7E43"/>
    <w:rsid w:val="004C0103"/>
    <w:rsid w:val="004C1143"/>
    <w:rsid w:val="004C58F9"/>
    <w:rsid w:val="004C7A90"/>
    <w:rsid w:val="004D0948"/>
    <w:rsid w:val="004D0C67"/>
    <w:rsid w:val="004D3D81"/>
    <w:rsid w:val="004D59F0"/>
    <w:rsid w:val="004E1558"/>
    <w:rsid w:val="004E192F"/>
    <w:rsid w:val="004E3485"/>
    <w:rsid w:val="004E72BD"/>
    <w:rsid w:val="004F43E1"/>
    <w:rsid w:val="0050088B"/>
    <w:rsid w:val="005052DF"/>
    <w:rsid w:val="00506E72"/>
    <w:rsid w:val="005109EA"/>
    <w:rsid w:val="00512078"/>
    <w:rsid w:val="00516421"/>
    <w:rsid w:val="00516C95"/>
    <w:rsid w:val="0052117E"/>
    <w:rsid w:val="00522C8C"/>
    <w:rsid w:val="00522F2E"/>
    <w:rsid w:val="00523873"/>
    <w:rsid w:val="005309B7"/>
    <w:rsid w:val="00530E0A"/>
    <w:rsid w:val="00531BF6"/>
    <w:rsid w:val="00534075"/>
    <w:rsid w:val="00534EC5"/>
    <w:rsid w:val="005357B6"/>
    <w:rsid w:val="00535E2C"/>
    <w:rsid w:val="00543D97"/>
    <w:rsid w:val="005508EA"/>
    <w:rsid w:val="00555F37"/>
    <w:rsid w:val="00557C4B"/>
    <w:rsid w:val="005601DF"/>
    <w:rsid w:val="005607F1"/>
    <w:rsid w:val="00560A63"/>
    <w:rsid w:val="00562DA6"/>
    <w:rsid w:val="00564B2E"/>
    <w:rsid w:val="0057015B"/>
    <w:rsid w:val="00570B14"/>
    <w:rsid w:val="005723DF"/>
    <w:rsid w:val="00573C13"/>
    <w:rsid w:val="00576D55"/>
    <w:rsid w:val="00582118"/>
    <w:rsid w:val="00585A39"/>
    <w:rsid w:val="005929DD"/>
    <w:rsid w:val="005934EE"/>
    <w:rsid w:val="005935B7"/>
    <w:rsid w:val="00597B98"/>
    <w:rsid w:val="005A0DBC"/>
    <w:rsid w:val="005A35C6"/>
    <w:rsid w:val="005A4E16"/>
    <w:rsid w:val="005A5A54"/>
    <w:rsid w:val="005A5C38"/>
    <w:rsid w:val="005A6A8D"/>
    <w:rsid w:val="005A7283"/>
    <w:rsid w:val="005B2640"/>
    <w:rsid w:val="005B669F"/>
    <w:rsid w:val="005C08CB"/>
    <w:rsid w:val="005C3074"/>
    <w:rsid w:val="005D2574"/>
    <w:rsid w:val="005D6379"/>
    <w:rsid w:val="005D63BB"/>
    <w:rsid w:val="005E03FF"/>
    <w:rsid w:val="005E1AA3"/>
    <w:rsid w:val="005E3F71"/>
    <w:rsid w:val="005E4F9A"/>
    <w:rsid w:val="005E7B94"/>
    <w:rsid w:val="005F4052"/>
    <w:rsid w:val="005F6CE3"/>
    <w:rsid w:val="006003E1"/>
    <w:rsid w:val="00601968"/>
    <w:rsid w:val="00602EB6"/>
    <w:rsid w:val="00607FD7"/>
    <w:rsid w:val="006104AF"/>
    <w:rsid w:val="00610EF2"/>
    <w:rsid w:val="006112E5"/>
    <w:rsid w:val="00620C33"/>
    <w:rsid w:val="00631465"/>
    <w:rsid w:val="00632384"/>
    <w:rsid w:val="006365D2"/>
    <w:rsid w:val="00641C2E"/>
    <w:rsid w:val="00641E1F"/>
    <w:rsid w:val="00647FE0"/>
    <w:rsid w:val="00650590"/>
    <w:rsid w:val="00652DB7"/>
    <w:rsid w:val="00655B94"/>
    <w:rsid w:val="00661C89"/>
    <w:rsid w:val="0066215A"/>
    <w:rsid w:val="00664DF6"/>
    <w:rsid w:val="00670B48"/>
    <w:rsid w:val="006730C2"/>
    <w:rsid w:val="0068315A"/>
    <w:rsid w:val="0068461E"/>
    <w:rsid w:val="00684EB7"/>
    <w:rsid w:val="00684FC9"/>
    <w:rsid w:val="006919C7"/>
    <w:rsid w:val="0069283A"/>
    <w:rsid w:val="00693ECA"/>
    <w:rsid w:val="00693F2A"/>
    <w:rsid w:val="006971C8"/>
    <w:rsid w:val="006A7300"/>
    <w:rsid w:val="006A747E"/>
    <w:rsid w:val="006A7BD4"/>
    <w:rsid w:val="006B1E06"/>
    <w:rsid w:val="006B2E0A"/>
    <w:rsid w:val="006B44A4"/>
    <w:rsid w:val="006B58FE"/>
    <w:rsid w:val="006B697A"/>
    <w:rsid w:val="006B78E8"/>
    <w:rsid w:val="006C099C"/>
    <w:rsid w:val="006C6840"/>
    <w:rsid w:val="006C7B71"/>
    <w:rsid w:val="006D12DA"/>
    <w:rsid w:val="006D2DFB"/>
    <w:rsid w:val="006D575C"/>
    <w:rsid w:val="006D6F53"/>
    <w:rsid w:val="006D77C8"/>
    <w:rsid w:val="006E0C92"/>
    <w:rsid w:val="006E118A"/>
    <w:rsid w:val="006E1AD8"/>
    <w:rsid w:val="006E32B0"/>
    <w:rsid w:val="006E5469"/>
    <w:rsid w:val="006F00F5"/>
    <w:rsid w:val="006F076C"/>
    <w:rsid w:val="006F1606"/>
    <w:rsid w:val="006F5E74"/>
    <w:rsid w:val="006F7B77"/>
    <w:rsid w:val="00700831"/>
    <w:rsid w:val="00702BCE"/>
    <w:rsid w:val="00703672"/>
    <w:rsid w:val="007058A0"/>
    <w:rsid w:val="00711F35"/>
    <w:rsid w:val="007164CB"/>
    <w:rsid w:val="00721516"/>
    <w:rsid w:val="00721ABE"/>
    <w:rsid w:val="007232BF"/>
    <w:rsid w:val="00723E1B"/>
    <w:rsid w:val="00724369"/>
    <w:rsid w:val="00724817"/>
    <w:rsid w:val="00726265"/>
    <w:rsid w:val="007304E0"/>
    <w:rsid w:val="0073217A"/>
    <w:rsid w:val="0073302F"/>
    <w:rsid w:val="0073496C"/>
    <w:rsid w:val="00734B6C"/>
    <w:rsid w:val="00734EBD"/>
    <w:rsid w:val="00736D69"/>
    <w:rsid w:val="007418BF"/>
    <w:rsid w:val="00741930"/>
    <w:rsid w:val="0075125D"/>
    <w:rsid w:val="00760805"/>
    <w:rsid w:val="00762727"/>
    <w:rsid w:val="007663EE"/>
    <w:rsid w:val="00770756"/>
    <w:rsid w:val="00774356"/>
    <w:rsid w:val="00775BF6"/>
    <w:rsid w:val="00780CC0"/>
    <w:rsid w:val="00785B21"/>
    <w:rsid w:val="00785B9F"/>
    <w:rsid w:val="0079231B"/>
    <w:rsid w:val="00793D17"/>
    <w:rsid w:val="00794808"/>
    <w:rsid w:val="00796C3E"/>
    <w:rsid w:val="00796DD7"/>
    <w:rsid w:val="007A0D2A"/>
    <w:rsid w:val="007A0FF8"/>
    <w:rsid w:val="007A32D1"/>
    <w:rsid w:val="007A34EE"/>
    <w:rsid w:val="007A52BD"/>
    <w:rsid w:val="007B586F"/>
    <w:rsid w:val="007C0883"/>
    <w:rsid w:val="007C2CC2"/>
    <w:rsid w:val="007D1BE1"/>
    <w:rsid w:val="007D20DF"/>
    <w:rsid w:val="007D2D17"/>
    <w:rsid w:val="007D32C0"/>
    <w:rsid w:val="007E32CC"/>
    <w:rsid w:val="007E47EE"/>
    <w:rsid w:val="007E6482"/>
    <w:rsid w:val="007F040C"/>
    <w:rsid w:val="007F39A6"/>
    <w:rsid w:val="007F7086"/>
    <w:rsid w:val="00810D5D"/>
    <w:rsid w:val="00820359"/>
    <w:rsid w:val="00820BC5"/>
    <w:rsid w:val="00822FAB"/>
    <w:rsid w:val="008236E4"/>
    <w:rsid w:val="00826D73"/>
    <w:rsid w:val="00832E1C"/>
    <w:rsid w:val="00833FED"/>
    <w:rsid w:val="00846443"/>
    <w:rsid w:val="00846DEF"/>
    <w:rsid w:val="00850296"/>
    <w:rsid w:val="0085364D"/>
    <w:rsid w:val="00853C8D"/>
    <w:rsid w:val="0085459F"/>
    <w:rsid w:val="00854F27"/>
    <w:rsid w:val="008555A1"/>
    <w:rsid w:val="00861B98"/>
    <w:rsid w:val="00867124"/>
    <w:rsid w:val="0087030E"/>
    <w:rsid w:val="00870511"/>
    <w:rsid w:val="00874F45"/>
    <w:rsid w:val="00874FEE"/>
    <w:rsid w:val="00875958"/>
    <w:rsid w:val="00881759"/>
    <w:rsid w:val="00886E5C"/>
    <w:rsid w:val="0089132A"/>
    <w:rsid w:val="00893243"/>
    <w:rsid w:val="00894353"/>
    <w:rsid w:val="008944F8"/>
    <w:rsid w:val="00897400"/>
    <w:rsid w:val="008A4493"/>
    <w:rsid w:val="008A4D13"/>
    <w:rsid w:val="008A659E"/>
    <w:rsid w:val="008A7AA1"/>
    <w:rsid w:val="008B03DD"/>
    <w:rsid w:val="008B392F"/>
    <w:rsid w:val="008B46F5"/>
    <w:rsid w:val="008C0679"/>
    <w:rsid w:val="008C18E6"/>
    <w:rsid w:val="008C1EE0"/>
    <w:rsid w:val="008C2258"/>
    <w:rsid w:val="008C3681"/>
    <w:rsid w:val="008C676D"/>
    <w:rsid w:val="008C6A07"/>
    <w:rsid w:val="008C6C98"/>
    <w:rsid w:val="008D5B3E"/>
    <w:rsid w:val="008E2FEA"/>
    <w:rsid w:val="008F4789"/>
    <w:rsid w:val="008F5C87"/>
    <w:rsid w:val="008F6EEA"/>
    <w:rsid w:val="0090249A"/>
    <w:rsid w:val="00905D49"/>
    <w:rsid w:val="009064A4"/>
    <w:rsid w:val="00906C1F"/>
    <w:rsid w:val="00910651"/>
    <w:rsid w:val="0091383D"/>
    <w:rsid w:val="00913B92"/>
    <w:rsid w:val="00914152"/>
    <w:rsid w:val="00914272"/>
    <w:rsid w:val="0091652E"/>
    <w:rsid w:val="0092101F"/>
    <w:rsid w:val="00924130"/>
    <w:rsid w:val="00935305"/>
    <w:rsid w:val="00935DAE"/>
    <w:rsid w:val="00940559"/>
    <w:rsid w:val="0094195E"/>
    <w:rsid w:val="0094360B"/>
    <w:rsid w:val="00946793"/>
    <w:rsid w:val="009509A9"/>
    <w:rsid w:val="00950DBE"/>
    <w:rsid w:val="0095296D"/>
    <w:rsid w:val="00955F98"/>
    <w:rsid w:val="00960310"/>
    <w:rsid w:val="00960AEA"/>
    <w:rsid w:val="009627F3"/>
    <w:rsid w:val="00965121"/>
    <w:rsid w:val="0096646D"/>
    <w:rsid w:val="009746B8"/>
    <w:rsid w:val="00976EC7"/>
    <w:rsid w:val="0098679F"/>
    <w:rsid w:val="00992A48"/>
    <w:rsid w:val="009943D4"/>
    <w:rsid w:val="00994B01"/>
    <w:rsid w:val="00996062"/>
    <w:rsid w:val="009A39E7"/>
    <w:rsid w:val="009A3EEF"/>
    <w:rsid w:val="009A4887"/>
    <w:rsid w:val="009A660F"/>
    <w:rsid w:val="009A7671"/>
    <w:rsid w:val="009B0D66"/>
    <w:rsid w:val="009B1D48"/>
    <w:rsid w:val="009B1E68"/>
    <w:rsid w:val="009B32BA"/>
    <w:rsid w:val="009B36F7"/>
    <w:rsid w:val="009C0917"/>
    <w:rsid w:val="009C0E9B"/>
    <w:rsid w:val="009D18D1"/>
    <w:rsid w:val="009D1984"/>
    <w:rsid w:val="009D4150"/>
    <w:rsid w:val="009D7AC6"/>
    <w:rsid w:val="009E7238"/>
    <w:rsid w:val="009F0A75"/>
    <w:rsid w:val="009F0F4C"/>
    <w:rsid w:val="009F1351"/>
    <w:rsid w:val="009F66A4"/>
    <w:rsid w:val="00A0020B"/>
    <w:rsid w:val="00A024C1"/>
    <w:rsid w:val="00A033D4"/>
    <w:rsid w:val="00A039A3"/>
    <w:rsid w:val="00A049CD"/>
    <w:rsid w:val="00A115ED"/>
    <w:rsid w:val="00A13460"/>
    <w:rsid w:val="00A16E7C"/>
    <w:rsid w:val="00A226F6"/>
    <w:rsid w:val="00A24433"/>
    <w:rsid w:val="00A25EAC"/>
    <w:rsid w:val="00A30DC4"/>
    <w:rsid w:val="00A31791"/>
    <w:rsid w:val="00A3312F"/>
    <w:rsid w:val="00A35663"/>
    <w:rsid w:val="00A359A6"/>
    <w:rsid w:val="00A424A9"/>
    <w:rsid w:val="00A451E8"/>
    <w:rsid w:val="00A46001"/>
    <w:rsid w:val="00A511AC"/>
    <w:rsid w:val="00A54F3C"/>
    <w:rsid w:val="00A6018C"/>
    <w:rsid w:val="00A607E1"/>
    <w:rsid w:val="00A673E6"/>
    <w:rsid w:val="00A67A94"/>
    <w:rsid w:val="00A70012"/>
    <w:rsid w:val="00A713A1"/>
    <w:rsid w:val="00A71D69"/>
    <w:rsid w:val="00A7422B"/>
    <w:rsid w:val="00A767DC"/>
    <w:rsid w:val="00A778CB"/>
    <w:rsid w:val="00A77C70"/>
    <w:rsid w:val="00A80BCA"/>
    <w:rsid w:val="00A81A3C"/>
    <w:rsid w:val="00A85FBD"/>
    <w:rsid w:val="00A90B42"/>
    <w:rsid w:val="00A91B82"/>
    <w:rsid w:val="00A93133"/>
    <w:rsid w:val="00AA43F2"/>
    <w:rsid w:val="00AA6927"/>
    <w:rsid w:val="00AB3BC3"/>
    <w:rsid w:val="00AB427A"/>
    <w:rsid w:val="00AB5BA0"/>
    <w:rsid w:val="00AB6E63"/>
    <w:rsid w:val="00AB77B4"/>
    <w:rsid w:val="00AC0D7D"/>
    <w:rsid w:val="00AC344B"/>
    <w:rsid w:val="00AC3733"/>
    <w:rsid w:val="00AC40BC"/>
    <w:rsid w:val="00AC4963"/>
    <w:rsid w:val="00AC50AB"/>
    <w:rsid w:val="00AD1832"/>
    <w:rsid w:val="00AD35C4"/>
    <w:rsid w:val="00AE09F6"/>
    <w:rsid w:val="00AE3721"/>
    <w:rsid w:val="00AE3A28"/>
    <w:rsid w:val="00AE4A97"/>
    <w:rsid w:val="00AE62DA"/>
    <w:rsid w:val="00AE6327"/>
    <w:rsid w:val="00AF0724"/>
    <w:rsid w:val="00AF7521"/>
    <w:rsid w:val="00AF7CB0"/>
    <w:rsid w:val="00B009DB"/>
    <w:rsid w:val="00B01226"/>
    <w:rsid w:val="00B0192C"/>
    <w:rsid w:val="00B05989"/>
    <w:rsid w:val="00B07BE3"/>
    <w:rsid w:val="00B139A8"/>
    <w:rsid w:val="00B20926"/>
    <w:rsid w:val="00B23DC8"/>
    <w:rsid w:val="00B276DD"/>
    <w:rsid w:val="00B313B5"/>
    <w:rsid w:val="00B32CA3"/>
    <w:rsid w:val="00B33C8B"/>
    <w:rsid w:val="00B372F4"/>
    <w:rsid w:val="00B43457"/>
    <w:rsid w:val="00B4385F"/>
    <w:rsid w:val="00B442B7"/>
    <w:rsid w:val="00B45653"/>
    <w:rsid w:val="00B52C0B"/>
    <w:rsid w:val="00B56AAF"/>
    <w:rsid w:val="00B62FB6"/>
    <w:rsid w:val="00B63135"/>
    <w:rsid w:val="00B642B5"/>
    <w:rsid w:val="00B65B59"/>
    <w:rsid w:val="00B66628"/>
    <w:rsid w:val="00B74BF2"/>
    <w:rsid w:val="00B75FAF"/>
    <w:rsid w:val="00B813D6"/>
    <w:rsid w:val="00B81849"/>
    <w:rsid w:val="00B83E94"/>
    <w:rsid w:val="00B901DF"/>
    <w:rsid w:val="00B91306"/>
    <w:rsid w:val="00B93681"/>
    <w:rsid w:val="00B966C3"/>
    <w:rsid w:val="00B97278"/>
    <w:rsid w:val="00BA6533"/>
    <w:rsid w:val="00BB1927"/>
    <w:rsid w:val="00BB1983"/>
    <w:rsid w:val="00BC764C"/>
    <w:rsid w:val="00BD1362"/>
    <w:rsid w:val="00BD4BEE"/>
    <w:rsid w:val="00BD4DE0"/>
    <w:rsid w:val="00BE0D3C"/>
    <w:rsid w:val="00BE1016"/>
    <w:rsid w:val="00BE3E60"/>
    <w:rsid w:val="00BE4946"/>
    <w:rsid w:val="00BE6DF3"/>
    <w:rsid w:val="00BF21A1"/>
    <w:rsid w:val="00BF4228"/>
    <w:rsid w:val="00BF4B17"/>
    <w:rsid w:val="00BF6B78"/>
    <w:rsid w:val="00C00207"/>
    <w:rsid w:val="00C0123C"/>
    <w:rsid w:val="00C02027"/>
    <w:rsid w:val="00C06537"/>
    <w:rsid w:val="00C07158"/>
    <w:rsid w:val="00C1039C"/>
    <w:rsid w:val="00C165DA"/>
    <w:rsid w:val="00C171AC"/>
    <w:rsid w:val="00C20F54"/>
    <w:rsid w:val="00C21554"/>
    <w:rsid w:val="00C22925"/>
    <w:rsid w:val="00C25F2D"/>
    <w:rsid w:val="00C3146A"/>
    <w:rsid w:val="00C32438"/>
    <w:rsid w:val="00C33B37"/>
    <w:rsid w:val="00C360B5"/>
    <w:rsid w:val="00C36BFC"/>
    <w:rsid w:val="00C3714A"/>
    <w:rsid w:val="00C56290"/>
    <w:rsid w:val="00C6032C"/>
    <w:rsid w:val="00C66D78"/>
    <w:rsid w:val="00C67A16"/>
    <w:rsid w:val="00C81014"/>
    <w:rsid w:val="00C81190"/>
    <w:rsid w:val="00C8539D"/>
    <w:rsid w:val="00C86FD9"/>
    <w:rsid w:val="00C93BF8"/>
    <w:rsid w:val="00C9571C"/>
    <w:rsid w:val="00CA1293"/>
    <w:rsid w:val="00CA27AF"/>
    <w:rsid w:val="00CB716E"/>
    <w:rsid w:val="00CC0305"/>
    <w:rsid w:val="00CC0458"/>
    <w:rsid w:val="00CC1755"/>
    <w:rsid w:val="00CC1C99"/>
    <w:rsid w:val="00CC3C86"/>
    <w:rsid w:val="00CD10D8"/>
    <w:rsid w:val="00CD25F8"/>
    <w:rsid w:val="00CE1220"/>
    <w:rsid w:val="00CE39F0"/>
    <w:rsid w:val="00CE3CC5"/>
    <w:rsid w:val="00CE53B8"/>
    <w:rsid w:val="00CF4412"/>
    <w:rsid w:val="00CF4ADC"/>
    <w:rsid w:val="00D02DEF"/>
    <w:rsid w:val="00D05C01"/>
    <w:rsid w:val="00D07AD5"/>
    <w:rsid w:val="00D11ECD"/>
    <w:rsid w:val="00D14C5A"/>
    <w:rsid w:val="00D16596"/>
    <w:rsid w:val="00D16BFC"/>
    <w:rsid w:val="00D2308C"/>
    <w:rsid w:val="00D23CD6"/>
    <w:rsid w:val="00D243BA"/>
    <w:rsid w:val="00D259FD"/>
    <w:rsid w:val="00D2651F"/>
    <w:rsid w:val="00D275CC"/>
    <w:rsid w:val="00D332DE"/>
    <w:rsid w:val="00D33AF2"/>
    <w:rsid w:val="00D3496F"/>
    <w:rsid w:val="00D3525C"/>
    <w:rsid w:val="00D37D11"/>
    <w:rsid w:val="00D4593F"/>
    <w:rsid w:val="00D47A46"/>
    <w:rsid w:val="00D53713"/>
    <w:rsid w:val="00D630BB"/>
    <w:rsid w:val="00D66C04"/>
    <w:rsid w:val="00D66C74"/>
    <w:rsid w:val="00D733F3"/>
    <w:rsid w:val="00D7471B"/>
    <w:rsid w:val="00D767C4"/>
    <w:rsid w:val="00D779D6"/>
    <w:rsid w:val="00D77CF5"/>
    <w:rsid w:val="00D81935"/>
    <w:rsid w:val="00D852A9"/>
    <w:rsid w:val="00D87293"/>
    <w:rsid w:val="00D87BA7"/>
    <w:rsid w:val="00D94A9F"/>
    <w:rsid w:val="00D97874"/>
    <w:rsid w:val="00DA22F1"/>
    <w:rsid w:val="00DA5014"/>
    <w:rsid w:val="00DA6C59"/>
    <w:rsid w:val="00DA6CB0"/>
    <w:rsid w:val="00DB0833"/>
    <w:rsid w:val="00DB090B"/>
    <w:rsid w:val="00DB460B"/>
    <w:rsid w:val="00DB7FB9"/>
    <w:rsid w:val="00DC1FE3"/>
    <w:rsid w:val="00DC40E5"/>
    <w:rsid w:val="00DC42D4"/>
    <w:rsid w:val="00DE343D"/>
    <w:rsid w:val="00DF2E6B"/>
    <w:rsid w:val="00DF4043"/>
    <w:rsid w:val="00DF4078"/>
    <w:rsid w:val="00DF7C6F"/>
    <w:rsid w:val="00E02D38"/>
    <w:rsid w:val="00E03440"/>
    <w:rsid w:val="00E03DB7"/>
    <w:rsid w:val="00E075A8"/>
    <w:rsid w:val="00E0780C"/>
    <w:rsid w:val="00E10AC4"/>
    <w:rsid w:val="00E112A9"/>
    <w:rsid w:val="00E12F11"/>
    <w:rsid w:val="00E12F4C"/>
    <w:rsid w:val="00E15B18"/>
    <w:rsid w:val="00E2243C"/>
    <w:rsid w:val="00E23619"/>
    <w:rsid w:val="00E24A79"/>
    <w:rsid w:val="00E2584F"/>
    <w:rsid w:val="00E25973"/>
    <w:rsid w:val="00E30DF1"/>
    <w:rsid w:val="00E33B68"/>
    <w:rsid w:val="00E3408C"/>
    <w:rsid w:val="00E34748"/>
    <w:rsid w:val="00E36438"/>
    <w:rsid w:val="00E421A0"/>
    <w:rsid w:val="00E47A42"/>
    <w:rsid w:val="00E47F06"/>
    <w:rsid w:val="00E524A1"/>
    <w:rsid w:val="00E5539B"/>
    <w:rsid w:val="00E63466"/>
    <w:rsid w:val="00E63D44"/>
    <w:rsid w:val="00E6791C"/>
    <w:rsid w:val="00E76258"/>
    <w:rsid w:val="00E77E3F"/>
    <w:rsid w:val="00E8045C"/>
    <w:rsid w:val="00E82F2E"/>
    <w:rsid w:val="00E935FE"/>
    <w:rsid w:val="00E962C5"/>
    <w:rsid w:val="00EA0625"/>
    <w:rsid w:val="00EA239F"/>
    <w:rsid w:val="00EA2FE7"/>
    <w:rsid w:val="00EA3488"/>
    <w:rsid w:val="00EA7C20"/>
    <w:rsid w:val="00EB0713"/>
    <w:rsid w:val="00EB09CC"/>
    <w:rsid w:val="00EB2E74"/>
    <w:rsid w:val="00EB31F7"/>
    <w:rsid w:val="00EB5F7D"/>
    <w:rsid w:val="00EB628A"/>
    <w:rsid w:val="00EC327D"/>
    <w:rsid w:val="00EC589F"/>
    <w:rsid w:val="00ED6F65"/>
    <w:rsid w:val="00EE0A7A"/>
    <w:rsid w:val="00EE0FE8"/>
    <w:rsid w:val="00EE1412"/>
    <w:rsid w:val="00EE2CFA"/>
    <w:rsid w:val="00EE766A"/>
    <w:rsid w:val="00EF017F"/>
    <w:rsid w:val="00EF266A"/>
    <w:rsid w:val="00EF3EB5"/>
    <w:rsid w:val="00F04AB4"/>
    <w:rsid w:val="00F06E3B"/>
    <w:rsid w:val="00F11B1A"/>
    <w:rsid w:val="00F12F88"/>
    <w:rsid w:val="00F1354A"/>
    <w:rsid w:val="00F21232"/>
    <w:rsid w:val="00F22F8B"/>
    <w:rsid w:val="00F23BEC"/>
    <w:rsid w:val="00F260B7"/>
    <w:rsid w:val="00F35D50"/>
    <w:rsid w:val="00F35E13"/>
    <w:rsid w:val="00F41360"/>
    <w:rsid w:val="00F4748B"/>
    <w:rsid w:val="00F47BE4"/>
    <w:rsid w:val="00F50FDC"/>
    <w:rsid w:val="00F51050"/>
    <w:rsid w:val="00F53DDB"/>
    <w:rsid w:val="00F54E9B"/>
    <w:rsid w:val="00F60F21"/>
    <w:rsid w:val="00F63AE7"/>
    <w:rsid w:val="00F640EF"/>
    <w:rsid w:val="00F66123"/>
    <w:rsid w:val="00F66908"/>
    <w:rsid w:val="00F713AD"/>
    <w:rsid w:val="00F719A5"/>
    <w:rsid w:val="00F72C0B"/>
    <w:rsid w:val="00F77BC1"/>
    <w:rsid w:val="00F81D9A"/>
    <w:rsid w:val="00F85126"/>
    <w:rsid w:val="00F86415"/>
    <w:rsid w:val="00F86ADD"/>
    <w:rsid w:val="00F913C5"/>
    <w:rsid w:val="00F945CE"/>
    <w:rsid w:val="00F9486C"/>
    <w:rsid w:val="00F95169"/>
    <w:rsid w:val="00F96CBE"/>
    <w:rsid w:val="00F97D64"/>
    <w:rsid w:val="00FA189B"/>
    <w:rsid w:val="00FA239A"/>
    <w:rsid w:val="00FA24E0"/>
    <w:rsid w:val="00FA28AC"/>
    <w:rsid w:val="00FA42E2"/>
    <w:rsid w:val="00FB1C24"/>
    <w:rsid w:val="00FB24B5"/>
    <w:rsid w:val="00FB7907"/>
    <w:rsid w:val="00FC025F"/>
    <w:rsid w:val="00FC087C"/>
    <w:rsid w:val="00FC288C"/>
    <w:rsid w:val="00FC60E2"/>
    <w:rsid w:val="00FD085A"/>
    <w:rsid w:val="00FD277F"/>
    <w:rsid w:val="00FD28E3"/>
    <w:rsid w:val="00FD543C"/>
    <w:rsid w:val="00FD7028"/>
    <w:rsid w:val="00FE13FB"/>
    <w:rsid w:val="00FE2703"/>
    <w:rsid w:val="00FE282A"/>
    <w:rsid w:val="00FE5F3F"/>
    <w:rsid w:val="00FE6AF8"/>
    <w:rsid w:val="00FE70C1"/>
    <w:rsid w:val="00FE7DA0"/>
    <w:rsid w:val="00FF08B9"/>
    <w:rsid w:val="00FF10FE"/>
    <w:rsid w:val="00FF3BDB"/>
    <w:rsid w:val="00FF46F0"/>
    <w:rsid w:val="00FF597C"/>
    <w:rsid w:val="00FF7128"/>
    <w:rsid w:val="00FF74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21EBC"/>
  <w15:chartTrackingRefBased/>
  <w15:docId w15:val="{C65BDEBE-5721-4BC5-923C-2DE3382EC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9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59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593F"/>
    <w:pPr>
      <w:pBdr>
        <w:top w:val="none" w:sz="0" w:space="0" w:color="auto"/>
      </w:pBdr>
      <w:spacing w:before="180"/>
      <w:outlineLvl w:val="1"/>
    </w:pPr>
    <w:rPr>
      <w:sz w:val="32"/>
    </w:rPr>
  </w:style>
  <w:style w:type="paragraph" w:styleId="Heading3">
    <w:name w:val="heading 3"/>
    <w:basedOn w:val="Heading2"/>
    <w:next w:val="Normal"/>
    <w:qFormat/>
    <w:rsid w:val="00D4593F"/>
    <w:pPr>
      <w:spacing w:before="120"/>
      <w:outlineLvl w:val="2"/>
    </w:pPr>
    <w:rPr>
      <w:sz w:val="28"/>
    </w:rPr>
  </w:style>
  <w:style w:type="paragraph" w:styleId="Heading4">
    <w:name w:val="heading 4"/>
    <w:basedOn w:val="Heading3"/>
    <w:next w:val="Normal"/>
    <w:qFormat/>
    <w:rsid w:val="00D4593F"/>
    <w:pPr>
      <w:ind w:left="1418" w:hanging="1418"/>
      <w:outlineLvl w:val="3"/>
    </w:pPr>
    <w:rPr>
      <w:sz w:val="24"/>
    </w:rPr>
  </w:style>
  <w:style w:type="paragraph" w:styleId="Heading5">
    <w:name w:val="heading 5"/>
    <w:basedOn w:val="Heading4"/>
    <w:next w:val="Normal"/>
    <w:qFormat/>
    <w:rsid w:val="00D4593F"/>
    <w:pPr>
      <w:ind w:left="1701" w:hanging="1701"/>
      <w:outlineLvl w:val="4"/>
    </w:pPr>
    <w:rPr>
      <w:sz w:val="22"/>
    </w:rPr>
  </w:style>
  <w:style w:type="paragraph" w:styleId="Heading6">
    <w:name w:val="heading 6"/>
    <w:basedOn w:val="H6"/>
    <w:next w:val="Normal"/>
    <w:qFormat/>
    <w:rsid w:val="00D4593F"/>
    <w:pPr>
      <w:outlineLvl w:val="5"/>
    </w:pPr>
  </w:style>
  <w:style w:type="paragraph" w:styleId="Heading7">
    <w:name w:val="heading 7"/>
    <w:basedOn w:val="H6"/>
    <w:next w:val="Normal"/>
    <w:qFormat/>
    <w:rsid w:val="00D4593F"/>
    <w:pPr>
      <w:outlineLvl w:val="6"/>
    </w:pPr>
  </w:style>
  <w:style w:type="paragraph" w:styleId="Heading8">
    <w:name w:val="heading 8"/>
    <w:basedOn w:val="Heading1"/>
    <w:next w:val="Normal"/>
    <w:qFormat/>
    <w:rsid w:val="00D4593F"/>
    <w:pPr>
      <w:ind w:left="0" w:firstLine="0"/>
      <w:outlineLvl w:val="7"/>
    </w:pPr>
  </w:style>
  <w:style w:type="paragraph" w:styleId="Heading9">
    <w:name w:val="heading 9"/>
    <w:basedOn w:val="Heading8"/>
    <w:next w:val="Normal"/>
    <w:qFormat/>
    <w:rsid w:val="00D45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593F"/>
    <w:pPr>
      <w:spacing w:before="180"/>
      <w:ind w:left="2693" w:hanging="2693"/>
    </w:pPr>
    <w:rPr>
      <w:b/>
    </w:rPr>
  </w:style>
  <w:style w:type="paragraph" w:styleId="TOC1">
    <w:name w:val="toc 1"/>
    <w:semiHidden/>
    <w:rsid w:val="00D459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5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593F"/>
    <w:pPr>
      <w:ind w:left="1701" w:hanging="1701"/>
    </w:pPr>
  </w:style>
  <w:style w:type="paragraph" w:styleId="TOC4">
    <w:name w:val="toc 4"/>
    <w:basedOn w:val="TOC3"/>
    <w:semiHidden/>
    <w:rsid w:val="00D4593F"/>
    <w:pPr>
      <w:ind w:left="1418" w:hanging="1418"/>
    </w:pPr>
  </w:style>
  <w:style w:type="paragraph" w:styleId="TOC3">
    <w:name w:val="toc 3"/>
    <w:basedOn w:val="TOC2"/>
    <w:semiHidden/>
    <w:rsid w:val="00D4593F"/>
    <w:pPr>
      <w:ind w:left="1134" w:hanging="1134"/>
    </w:pPr>
  </w:style>
  <w:style w:type="paragraph" w:styleId="TOC2">
    <w:name w:val="toc 2"/>
    <w:basedOn w:val="TOC1"/>
    <w:semiHidden/>
    <w:rsid w:val="00D4593F"/>
    <w:pPr>
      <w:keepNext w:val="0"/>
      <w:spacing w:before="0"/>
      <w:ind w:left="851" w:hanging="851"/>
    </w:pPr>
    <w:rPr>
      <w:sz w:val="20"/>
    </w:rPr>
  </w:style>
  <w:style w:type="paragraph" w:styleId="Index2">
    <w:name w:val="index 2"/>
    <w:basedOn w:val="Index1"/>
    <w:semiHidden/>
    <w:rsid w:val="00D4593F"/>
    <w:pPr>
      <w:ind w:left="284"/>
    </w:pPr>
  </w:style>
  <w:style w:type="paragraph" w:styleId="Index1">
    <w:name w:val="index 1"/>
    <w:basedOn w:val="Normal"/>
    <w:semiHidden/>
    <w:rsid w:val="00D4593F"/>
    <w:pPr>
      <w:keepLines/>
      <w:spacing w:after="0"/>
    </w:pPr>
  </w:style>
  <w:style w:type="paragraph" w:customStyle="1" w:styleId="ZH">
    <w:name w:val="ZH"/>
    <w:rsid w:val="00D4593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593F"/>
    <w:pPr>
      <w:outlineLvl w:val="9"/>
    </w:pPr>
  </w:style>
  <w:style w:type="paragraph" w:styleId="ListNumber2">
    <w:name w:val="List Number 2"/>
    <w:basedOn w:val="ListNumber"/>
    <w:semiHidden/>
    <w:rsid w:val="00D4593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93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593F"/>
    <w:rPr>
      <w:b/>
      <w:position w:val="6"/>
      <w:sz w:val="16"/>
    </w:rPr>
  </w:style>
  <w:style w:type="paragraph" w:styleId="FootnoteText">
    <w:name w:val="footnote text"/>
    <w:basedOn w:val="Normal"/>
    <w:semiHidden/>
    <w:rsid w:val="00D4593F"/>
    <w:pPr>
      <w:keepLines/>
      <w:spacing w:after="0"/>
      <w:ind w:left="454" w:hanging="454"/>
    </w:pPr>
    <w:rPr>
      <w:sz w:val="16"/>
    </w:rPr>
  </w:style>
  <w:style w:type="paragraph" w:customStyle="1" w:styleId="TAH">
    <w:name w:val="TAH"/>
    <w:basedOn w:val="TAC"/>
    <w:link w:val="TAHCar"/>
    <w:rsid w:val="00D4593F"/>
    <w:rPr>
      <w:b/>
    </w:rPr>
  </w:style>
  <w:style w:type="paragraph" w:customStyle="1" w:styleId="TAC">
    <w:name w:val="TAC"/>
    <w:basedOn w:val="TAL"/>
    <w:link w:val="TACChar"/>
    <w:rsid w:val="00D4593F"/>
    <w:pPr>
      <w:jc w:val="center"/>
    </w:pPr>
  </w:style>
  <w:style w:type="paragraph" w:customStyle="1" w:styleId="TF">
    <w:name w:val="TF"/>
    <w:basedOn w:val="TH"/>
    <w:rsid w:val="00D4593F"/>
    <w:pPr>
      <w:keepNext w:val="0"/>
      <w:spacing w:before="0" w:after="240"/>
    </w:pPr>
  </w:style>
  <w:style w:type="paragraph" w:customStyle="1" w:styleId="NO">
    <w:name w:val="NO"/>
    <w:basedOn w:val="Normal"/>
    <w:rsid w:val="00D4593F"/>
    <w:pPr>
      <w:keepLines/>
      <w:ind w:left="1135" w:hanging="851"/>
    </w:pPr>
  </w:style>
  <w:style w:type="paragraph" w:styleId="TOC9">
    <w:name w:val="toc 9"/>
    <w:basedOn w:val="TOC8"/>
    <w:semiHidden/>
    <w:rsid w:val="00D4593F"/>
    <w:pPr>
      <w:ind w:left="1418" w:hanging="1418"/>
    </w:pPr>
  </w:style>
  <w:style w:type="paragraph" w:customStyle="1" w:styleId="EX">
    <w:name w:val="EX"/>
    <w:basedOn w:val="Normal"/>
    <w:rsid w:val="00D4593F"/>
    <w:pPr>
      <w:keepLines/>
      <w:ind w:left="1702" w:hanging="1418"/>
    </w:pPr>
  </w:style>
  <w:style w:type="paragraph" w:customStyle="1" w:styleId="FP">
    <w:name w:val="FP"/>
    <w:basedOn w:val="Normal"/>
    <w:rsid w:val="00D4593F"/>
    <w:pPr>
      <w:spacing w:after="0"/>
    </w:pPr>
  </w:style>
  <w:style w:type="paragraph" w:customStyle="1" w:styleId="LD">
    <w:name w:val="LD"/>
    <w:rsid w:val="00D4593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593F"/>
    <w:pPr>
      <w:spacing w:after="0"/>
    </w:pPr>
  </w:style>
  <w:style w:type="paragraph" w:customStyle="1" w:styleId="EW">
    <w:name w:val="EW"/>
    <w:basedOn w:val="EX"/>
    <w:rsid w:val="00D4593F"/>
    <w:pPr>
      <w:spacing w:after="0"/>
    </w:pPr>
  </w:style>
  <w:style w:type="paragraph" w:styleId="TOC6">
    <w:name w:val="toc 6"/>
    <w:basedOn w:val="TOC5"/>
    <w:next w:val="Normal"/>
    <w:semiHidden/>
    <w:rsid w:val="00D4593F"/>
    <w:pPr>
      <w:ind w:left="1985" w:hanging="1985"/>
    </w:pPr>
  </w:style>
  <w:style w:type="paragraph" w:styleId="TOC7">
    <w:name w:val="toc 7"/>
    <w:basedOn w:val="TOC6"/>
    <w:next w:val="Normal"/>
    <w:semiHidden/>
    <w:rsid w:val="00D4593F"/>
    <w:pPr>
      <w:ind w:left="2268" w:hanging="2268"/>
    </w:pPr>
  </w:style>
  <w:style w:type="paragraph" w:styleId="ListBullet2">
    <w:name w:val="List Bullet 2"/>
    <w:basedOn w:val="ListBullet"/>
    <w:semiHidden/>
    <w:rsid w:val="00D4593F"/>
    <w:pPr>
      <w:ind w:left="851"/>
    </w:pPr>
  </w:style>
  <w:style w:type="paragraph" w:styleId="ListBullet3">
    <w:name w:val="List Bullet 3"/>
    <w:basedOn w:val="ListBullet2"/>
    <w:semiHidden/>
    <w:rsid w:val="00D4593F"/>
    <w:pPr>
      <w:ind w:left="1135"/>
    </w:pPr>
  </w:style>
  <w:style w:type="paragraph" w:styleId="ListNumber">
    <w:name w:val="List Number"/>
    <w:basedOn w:val="List"/>
    <w:semiHidden/>
    <w:rsid w:val="00D4593F"/>
  </w:style>
  <w:style w:type="paragraph" w:customStyle="1" w:styleId="EQ">
    <w:name w:val="EQ"/>
    <w:basedOn w:val="Normal"/>
    <w:next w:val="Normal"/>
    <w:rsid w:val="00D4593F"/>
    <w:pPr>
      <w:keepLines/>
      <w:tabs>
        <w:tab w:val="center" w:pos="4536"/>
        <w:tab w:val="right" w:pos="9072"/>
      </w:tabs>
    </w:pPr>
    <w:rPr>
      <w:noProof/>
    </w:rPr>
  </w:style>
  <w:style w:type="paragraph" w:customStyle="1" w:styleId="TH">
    <w:name w:val="TH"/>
    <w:basedOn w:val="Normal"/>
    <w:link w:val="THChar"/>
    <w:rsid w:val="00D4593F"/>
    <w:pPr>
      <w:keepNext/>
      <w:keepLines/>
      <w:spacing w:before="60"/>
      <w:jc w:val="center"/>
    </w:pPr>
    <w:rPr>
      <w:rFonts w:ascii="Arial" w:hAnsi="Arial"/>
      <w:b/>
    </w:rPr>
  </w:style>
  <w:style w:type="paragraph" w:customStyle="1" w:styleId="NF">
    <w:name w:val="NF"/>
    <w:basedOn w:val="NO"/>
    <w:rsid w:val="00D4593F"/>
    <w:pPr>
      <w:keepNext/>
      <w:spacing w:after="0"/>
    </w:pPr>
    <w:rPr>
      <w:rFonts w:ascii="Arial" w:hAnsi="Arial"/>
      <w:sz w:val="18"/>
    </w:rPr>
  </w:style>
  <w:style w:type="paragraph" w:customStyle="1" w:styleId="PL">
    <w:name w:val="PL"/>
    <w:rsid w:val="00D45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593F"/>
    <w:pPr>
      <w:jc w:val="right"/>
    </w:pPr>
  </w:style>
  <w:style w:type="paragraph" w:customStyle="1" w:styleId="H6">
    <w:name w:val="H6"/>
    <w:basedOn w:val="Heading5"/>
    <w:next w:val="Normal"/>
    <w:rsid w:val="00D4593F"/>
    <w:pPr>
      <w:ind w:left="1985" w:hanging="1985"/>
      <w:outlineLvl w:val="9"/>
    </w:pPr>
    <w:rPr>
      <w:sz w:val="20"/>
    </w:rPr>
  </w:style>
  <w:style w:type="paragraph" w:customStyle="1" w:styleId="TAN">
    <w:name w:val="TAN"/>
    <w:basedOn w:val="TAL"/>
    <w:link w:val="TANChar"/>
    <w:rsid w:val="00D4593F"/>
    <w:pPr>
      <w:ind w:left="851" w:hanging="851"/>
    </w:pPr>
  </w:style>
  <w:style w:type="paragraph" w:customStyle="1" w:styleId="TAL">
    <w:name w:val="TAL"/>
    <w:basedOn w:val="Normal"/>
    <w:rsid w:val="00D4593F"/>
    <w:pPr>
      <w:keepNext/>
      <w:keepLines/>
      <w:spacing w:after="0"/>
    </w:pPr>
    <w:rPr>
      <w:rFonts w:ascii="Arial" w:hAnsi="Arial"/>
      <w:sz w:val="18"/>
    </w:rPr>
  </w:style>
  <w:style w:type="paragraph" w:customStyle="1" w:styleId="ZA">
    <w:name w:val="ZA"/>
    <w:rsid w:val="00D45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5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593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5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593F"/>
    <w:pPr>
      <w:framePr w:wrap="notBeside" w:y="16161"/>
    </w:pPr>
  </w:style>
  <w:style w:type="character" w:customStyle="1" w:styleId="ZGSM">
    <w:name w:val="ZGSM"/>
    <w:rsid w:val="00D4593F"/>
  </w:style>
  <w:style w:type="paragraph" w:styleId="List2">
    <w:name w:val="List 2"/>
    <w:basedOn w:val="List"/>
    <w:semiHidden/>
    <w:rsid w:val="00D4593F"/>
    <w:pPr>
      <w:ind w:left="851"/>
    </w:pPr>
  </w:style>
  <w:style w:type="paragraph" w:customStyle="1" w:styleId="ZG">
    <w:name w:val="ZG"/>
    <w:rsid w:val="00D459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593F"/>
    <w:pPr>
      <w:ind w:left="1135"/>
    </w:pPr>
  </w:style>
  <w:style w:type="paragraph" w:styleId="List4">
    <w:name w:val="List 4"/>
    <w:basedOn w:val="List3"/>
    <w:semiHidden/>
    <w:rsid w:val="00D4593F"/>
    <w:pPr>
      <w:ind w:left="1418"/>
    </w:pPr>
  </w:style>
  <w:style w:type="paragraph" w:styleId="List5">
    <w:name w:val="List 5"/>
    <w:basedOn w:val="List4"/>
    <w:semiHidden/>
    <w:rsid w:val="00D4593F"/>
    <w:pPr>
      <w:ind w:left="1702"/>
    </w:pPr>
  </w:style>
  <w:style w:type="paragraph" w:customStyle="1" w:styleId="EditorsNote">
    <w:name w:val="Editor's Note"/>
    <w:basedOn w:val="NO"/>
    <w:rsid w:val="00D4593F"/>
    <w:rPr>
      <w:color w:val="FF0000"/>
    </w:rPr>
  </w:style>
  <w:style w:type="paragraph" w:styleId="List">
    <w:name w:val="List"/>
    <w:basedOn w:val="Normal"/>
    <w:semiHidden/>
    <w:rsid w:val="00D4593F"/>
    <w:pPr>
      <w:ind w:left="568" w:hanging="284"/>
    </w:pPr>
  </w:style>
  <w:style w:type="paragraph" w:styleId="ListBullet">
    <w:name w:val="List Bullet"/>
    <w:basedOn w:val="List"/>
    <w:semiHidden/>
    <w:rsid w:val="00D4593F"/>
  </w:style>
  <w:style w:type="paragraph" w:styleId="ListBullet4">
    <w:name w:val="List Bullet 4"/>
    <w:basedOn w:val="ListBullet3"/>
    <w:semiHidden/>
    <w:rsid w:val="00D4593F"/>
    <w:pPr>
      <w:ind w:left="1418"/>
    </w:pPr>
  </w:style>
  <w:style w:type="paragraph" w:styleId="ListBullet5">
    <w:name w:val="List Bullet 5"/>
    <w:basedOn w:val="ListBullet4"/>
    <w:semiHidden/>
    <w:rsid w:val="00D4593F"/>
    <w:pPr>
      <w:ind w:left="1702"/>
    </w:pPr>
  </w:style>
  <w:style w:type="paragraph" w:customStyle="1" w:styleId="B1">
    <w:name w:val="B1"/>
    <w:basedOn w:val="List"/>
    <w:rsid w:val="00D4593F"/>
  </w:style>
  <w:style w:type="paragraph" w:customStyle="1" w:styleId="B2">
    <w:name w:val="B2"/>
    <w:basedOn w:val="List2"/>
    <w:rsid w:val="00D4593F"/>
  </w:style>
  <w:style w:type="paragraph" w:customStyle="1" w:styleId="B3">
    <w:name w:val="B3"/>
    <w:basedOn w:val="List3"/>
    <w:rsid w:val="00D4593F"/>
  </w:style>
  <w:style w:type="paragraph" w:customStyle="1" w:styleId="B4">
    <w:name w:val="B4"/>
    <w:basedOn w:val="List4"/>
    <w:rsid w:val="00D4593F"/>
  </w:style>
  <w:style w:type="paragraph" w:customStyle="1" w:styleId="B5">
    <w:name w:val="B5"/>
    <w:basedOn w:val="List5"/>
    <w:rsid w:val="00D4593F"/>
  </w:style>
  <w:style w:type="paragraph" w:styleId="Footer">
    <w:name w:val="footer"/>
    <w:basedOn w:val="Header"/>
    <w:semiHidden/>
    <w:rsid w:val="00D4593F"/>
    <w:pPr>
      <w:jc w:val="center"/>
    </w:pPr>
    <w:rPr>
      <w:i/>
    </w:rPr>
  </w:style>
  <w:style w:type="paragraph" w:customStyle="1" w:styleId="ZTD">
    <w:name w:val="ZTD"/>
    <w:basedOn w:val="ZB"/>
    <w:rsid w:val="00D4593F"/>
    <w:pPr>
      <w:framePr w:hRule="auto" w:wrap="notBeside" w:y="852"/>
    </w:pPr>
    <w:rPr>
      <w:i w:val="0"/>
      <w:sz w:val="40"/>
    </w:rPr>
  </w:style>
  <w:style w:type="paragraph" w:customStyle="1" w:styleId="CRCoverPage">
    <w:name w:val="CR Cover Page"/>
    <w:link w:val="CRCoverPageChar"/>
    <w:rsid w:val="00D4593F"/>
    <w:pPr>
      <w:spacing w:after="120"/>
    </w:pPr>
    <w:rPr>
      <w:rFonts w:ascii="Arial" w:hAnsi="Arial"/>
      <w:lang w:val="en-GB" w:eastAsia="en-US"/>
    </w:rPr>
  </w:style>
  <w:style w:type="character" w:customStyle="1" w:styleId="Heading1Char">
    <w:name w:val="Heading 1 Char"/>
    <w:link w:val="Heading1"/>
    <w:rsid w:val="00D4593F"/>
    <w:rPr>
      <w:rFonts w:ascii="Arial" w:hAnsi="Arial"/>
      <w:sz w:val="36"/>
      <w:lang w:val="en-GB" w:eastAsia="en-US"/>
    </w:rPr>
  </w:style>
  <w:style w:type="character" w:customStyle="1" w:styleId="CRCoverPageChar">
    <w:name w:val="CR Cover Page Char"/>
    <w:link w:val="CRCoverPage"/>
    <w:locked/>
    <w:rsid w:val="00D4593F"/>
    <w:rPr>
      <w:rFonts w:ascii="Arial" w:hAnsi="Arial"/>
      <w:lang w:val="en-GB" w:eastAsia="en-US"/>
    </w:rPr>
  </w:style>
  <w:style w:type="character" w:styleId="CommentReference">
    <w:name w:val="annotation reference"/>
    <w:basedOn w:val="DefaultParagraphFont"/>
    <w:uiPriority w:val="99"/>
    <w:semiHidden/>
    <w:unhideWhenUsed/>
    <w:rsid w:val="00D4593F"/>
    <w:rPr>
      <w:sz w:val="16"/>
      <w:szCs w:val="16"/>
    </w:rPr>
  </w:style>
  <w:style w:type="paragraph" w:styleId="CommentText">
    <w:name w:val="annotation text"/>
    <w:basedOn w:val="Normal"/>
    <w:link w:val="CommentTextChar"/>
    <w:uiPriority w:val="99"/>
    <w:semiHidden/>
    <w:unhideWhenUsed/>
    <w:rsid w:val="00D4593F"/>
  </w:style>
  <w:style w:type="character" w:customStyle="1" w:styleId="CommentTextChar">
    <w:name w:val="Comment Text Char"/>
    <w:basedOn w:val="DefaultParagraphFont"/>
    <w:link w:val="CommentText"/>
    <w:uiPriority w:val="99"/>
    <w:semiHidden/>
    <w:rsid w:val="00D4593F"/>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D4593F"/>
    <w:rPr>
      <w:b/>
      <w:bCs/>
    </w:rPr>
  </w:style>
  <w:style w:type="character" w:customStyle="1" w:styleId="CommentSubjectChar">
    <w:name w:val="Comment Subject Char"/>
    <w:basedOn w:val="CommentTextChar"/>
    <w:link w:val="CommentSubject"/>
    <w:uiPriority w:val="99"/>
    <w:semiHidden/>
    <w:rsid w:val="00D4593F"/>
    <w:rPr>
      <w:rFonts w:ascii="Times New Roman" w:hAnsi="Times New Roman"/>
      <w:b/>
      <w:bCs/>
      <w:lang w:val="en-GB" w:eastAsia="en-US"/>
    </w:rPr>
  </w:style>
  <w:style w:type="paragraph" w:styleId="BalloonText">
    <w:name w:val="Balloon Text"/>
    <w:basedOn w:val="Normal"/>
    <w:link w:val="BalloonTextChar"/>
    <w:uiPriority w:val="99"/>
    <w:semiHidden/>
    <w:unhideWhenUsed/>
    <w:rsid w:val="00D459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93F"/>
    <w:rPr>
      <w:rFonts w:ascii="Segoe UI" w:hAnsi="Segoe UI" w:cs="Segoe UI"/>
      <w:sz w:val="18"/>
      <w:szCs w:val="18"/>
      <w:lang w:val="en-GB" w:eastAsia="en-US"/>
    </w:rPr>
  </w:style>
  <w:style w:type="character" w:customStyle="1" w:styleId="TACChar">
    <w:name w:val="TAC Char"/>
    <w:link w:val="TAC"/>
    <w:qFormat/>
    <w:rsid w:val="00D4593F"/>
    <w:rPr>
      <w:rFonts w:ascii="Arial" w:hAnsi="Arial"/>
      <w:sz w:val="18"/>
      <w:lang w:val="en-GB" w:eastAsia="en-US"/>
    </w:rPr>
  </w:style>
  <w:style w:type="character" w:customStyle="1" w:styleId="TAHCar">
    <w:name w:val="TAH Car"/>
    <w:link w:val="TAH"/>
    <w:qFormat/>
    <w:rsid w:val="00D4593F"/>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D4593F"/>
    <w:rPr>
      <w:rFonts w:ascii="Arial" w:hAnsi="Arial"/>
      <w:b/>
      <w:noProof/>
      <w:sz w:val="18"/>
      <w:lang w:val="en-US" w:eastAsia="en-US"/>
    </w:rPr>
  </w:style>
  <w:style w:type="paragraph" w:styleId="Caption">
    <w:name w:val="caption"/>
    <w:basedOn w:val="Normal"/>
    <w:next w:val="Normal"/>
    <w:uiPriority w:val="35"/>
    <w:unhideWhenUsed/>
    <w:qFormat/>
    <w:rsid w:val="00D4593F"/>
    <w:pPr>
      <w:spacing w:after="200"/>
    </w:pPr>
    <w:rPr>
      <w:i/>
      <w:iCs/>
      <w:color w:val="44546A" w:themeColor="text2"/>
      <w:sz w:val="18"/>
      <w:szCs w:val="18"/>
    </w:rPr>
  </w:style>
  <w:style w:type="paragraph" w:styleId="ListParagraph">
    <w:name w:val="List Paragraph"/>
    <w:basedOn w:val="Normal"/>
    <w:uiPriority w:val="34"/>
    <w:qFormat/>
    <w:rsid w:val="00D4593F"/>
    <w:pPr>
      <w:ind w:left="720"/>
      <w:contextualSpacing/>
    </w:pPr>
  </w:style>
  <w:style w:type="paragraph" w:customStyle="1" w:styleId="a">
    <w:name w:val="样式 页眉"/>
    <w:basedOn w:val="Header"/>
    <w:link w:val="Char"/>
    <w:rsid w:val="00D4593F"/>
    <w:rPr>
      <w:rFonts w:eastAsia="Arial"/>
      <w:bCs/>
      <w:sz w:val="22"/>
      <w:lang w:val="en-GB"/>
    </w:rPr>
  </w:style>
  <w:style w:type="character" w:customStyle="1" w:styleId="Char">
    <w:name w:val="样式 页眉 Char"/>
    <w:link w:val="a"/>
    <w:rsid w:val="00D4593F"/>
    <w:rPr>
      <w:rFonts w:ascii="Arial" w:eastAsia="Arial" w:hAnsi="Arial"/>
      <w:b/>
      <w:bCs/>
      <w:noProof/>
      <w:sz w:val="22"/>
      <w:lang w:val="en-GB" w:eastAsia="en-US"/>
    </w:rPr>
  </w:style>
  <w:style w:type="character" w:customStyle="1" w:styleId="THChar">
    <w:name w:val="TH Char"/>
    <w:link w:val="TH"/>
    <w:qFormat/>
    <w:rsid w:val="00D4593F"/>
    <w:rPr>
      <w:rFonts w:ascii="Arial" w:hAnsi="Arial"/>
      <w:b/>
      <w:lang w:val="en-GB" w:eastAsia="en-US"/>
    </w:rPr>
  </w:style>
  <w:style w:type="character" w:customStyle="1" w:styleId="TANChar">
    <w:name w:val="TAN Char"/>
    <w:link w:val="TAN"/>
    <w:qFormat/>
    <w:rsid w:val="00D4593F"/>
    <w:rPr>
      <w:rFonts w:ascii="Arial" w:hAnsi="Arial"/>
      <w:sz w:val="18"/>
      <w:lang w:val="en-GB" w:eastAsia="en-US"/>
    </w:rPr>
  </w:style>
  <w:style w:type="character" w:styleId="PlaceholderText">
    <w:name w:val="Placeholder Text"/>
    <w:basedOn w:val="DefaultParagraphFont"/>
    <w:uiPriority w:val="99"/>
    <w:semiHidden/>
    <w:rsid w:val="00D4593F"/>
    <w:rPr>
      <w:color w:val="808080"/>
    </w:rPr>
  </w:style>
  <w:style w:type="paragraph" w:styleId="Revision">
    <w:name w:val="Revision"/>
    <w:hidden/>
    <w:uiPriority w:val="99"/>
    <w:semiHidden/>
    <w:rsid w:val="00E34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50886">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4720203">
      <w:bodyDiv w:val="1"/>
      <w:marLeft w:val="0"/>
      <w:marRight w:val="0"/>
      <w:marTop w:val="0"/>
      <w:marBottom w:val="0"/>
      <w:divBdr>
        <w:top w:val="none" w:sz="0" w:space="0" w:color="auto"/>
        <w:left w:val="none" w:sz="0" w:space="0" w:color="auto"/>
        <w:bottom w:val="none" w:sz="0" w:space="0" w:color="auto"/>
        <w:right w:val="none" w:sz="0" w:space="0" w:color="auto"/>
      </w:divBdr>
    </w:div>
    <w:div w:id="341981818">
      <w:bodyDiv w:val="1"/>
      <w:marLeft w:val="0"/>
      <w:marRight w:val="0"/>
      <w:marTop w:val="0"/>
      <w:marBottom w:val="0"/>
      <w:divBdr>
        <w:top w:val="none" w:sz="0" w:space="0" w:color="auto"/>
        <w:left w:val="none" w:sz="0" w:space="0" w:color="auto"/>
        <w:bottom w:val="none" w:sz="0" w:space="0" w:color="auto"/>
        <w:right w:val="none" w:sz="0" w:space="0" w:color="auto"/>
      </w:divBdr>
    </w:div>
    <w:div w:id="374432308">
      <w:bodyDiv w:val="1"/>
      <w:marLeft w:val="0"/>
      <w:marRight w:val="0"/>
      <w:marTop w:val="0"/>
      <w:marBottom w:val="0"/>
      <w:divBdr>
        <w:top w:val="none" w:sz="0" w:space="0" w:color="auto"/>
        <w:left w:val="none" w:sz="0" w:space="0" w:color="auto"/>
        <w:bottom w:val="none" w:sz="0" w:space="0" w:color="auto"/>
        <w:right w:val="none" w:sz="0" w:space="0" w:color="auto"/>
      </w:divBdr>
    </w:div>
    <w:div w:id="553464806">
      <w:bodyDiv w:val="1"/>
      <w:marLeft w:val="0"/>
      <w:marRight w:val="0"/>
      <w:marTop w:val="0"/>
      <w:marBottom w:val="0"/>
      <w:divBdr>
        <w:top w:val="none" w:sz="0" w:space="0" w:color="auto"/>
        <w:left w:val="none" w:sz="0" w:space="0" w:color="auto"/>
        <w:bottom w:val="none" w:sz="0" w:space="0" w:color="auto"/>
        <w:right w:val="none" w:sz="0" w:space="0" w:color="auto"/>
      </w:divBdr>
    </w:div>
    <w:div w:id="728648525">
      <w:bodyDiv w:val="1"/>
      <w:marLeft w:val="0"/>
      <w:marRight w:val="0"/>
      <w:marTop w:val="0"/>
      <w:marBottom w:val="0"/>
      <w:divBdr>
        <w:top w:val="none" w:sz="0" w:space="0" w:color="auto"/>
        <w:left w:val="none" w:sz="0" w:space="0" w:color="auto"/>
        <w:bottom w:val="none" w:sz="0" w:space="0" w:color="auto"/>
        <w:right w:val="none" w:sz="0" w:space="0" w:color="auto"/>
      </w:divBdr>
    </w:div>
    <w:div w:id="902522586">
      <w:bodyDiv w:val="1"/>
      <w:marLeft w:val="0"/>
      <w:marRight w:val="0"/>
      <w:marTop w:val="0"/>
      <w:marBottom w:val="0"/>
      <w:divBdr>
        <w:top w:val="none" w:sz="0" w:space="0" w:color="auto"/>
        <w:left w:val="none" w:sz="0" w:space="0" w:color="auto"/>
        <w:bottom w:val="none" w:sz="0" w:space="0" w:color="auto"/>
        <w:right w:val="none" w:sz="0" w:space="0" w:color="auto"/>
      </w:divBdr>
    </w:div>
    <w:div w:id="1106343531">
      <w:bodyDiv w:val="1"/>
      <w:marLeft w:val="0"/>
      <w:marRight w:val="0"/>
      <w:marTop w:val="0"/>
      <w:marBottom w:val="0"/>
      <w:divBdr>
        <w:top w:val="none" w:sz="0" w:space="0" w:color="auto"/>
        <w:left w:val="none" w:sz="0" w:space="0" w:color="auto"/>
        <w:bottom w:val="none" w:sz="0" w:space="0" w:color="auto"/>
        <w:right w:val="none" w:sz="0" w:space="0" w:color="auto"/>
      </w:divBdr>
      <w:divsChild>
        <w:div w:id="697967735">
          <w:marLeft w:val="1080"/>
          <w:marRight w:val="0"/>
          <w:marTop w:val="100"/>
          <w:marBottom w:val="0"/>
          <w:divBdr>
            <w:top w:val="none" w:sz="0" w:space="0" w:color="auto"/>
            <w:left w:val="none" w:sz="0" w:space="0" w:color="auto"/>
            <w:bottom w:val="none" w:sz="0" w:space="0" w:color="auto"/>
            <w:right w:val="none" w:sz="0" w:space="0" w:color="auto"/>
          </w:divBdr>
        </w:div>
        <w:div w:id="2075885218">
          <w:marLeft w:val="1080"/>
          <w:marRight w:val="0"/>
          <w:marTop w:val="100"/>
          <w:marBottom w:val="0"/>
          <w:divBdr>
            <w:top w:val="none" w:sz="0" w:space="0" w:color="auto"/>
            <w:left w:val="none" w:sz="0" w:space="0" w:color="auto"/>
            <w:bottom w:val="none" w:sz="0" w:space="0" w:color="auto"/>
            <w:right w:val="none" w:sz="0" w:space="0" w:color="auto"/>
          </w:divBdr>
        </w:div>
      </w:divsChild>
    </w:div>
    <w:div w:id="1110469201">
      <w:bodyDiv w:val="1"/>
      <w:marLeft w:val="0"/>
      <w:marRight w:val="0"/>
      <w:marTop w:val="0"/>
      <w:marBottom w:val="0"/>
      <w:divBdr>
        <w:top w:val="none" w:sz="0" w:space="0" w:color="auto"/>
        <w:left w:val="none" w:sz="0" w:space="0" w:color="auto"/>
        <w:bottom w:val="none" w:sz="0" w:space="0" w:color="auto"/>
        <w:right w:val="none" w:sz="0" w:space="0" w:color="auto"/>
      </w:divBdr>
      <w:divsChild>
        <w:div w:id="989290081">
          <w:marLeft w:val="0"/>
          <w:marRight w:val="0"/>
          <w:marTop w:val="0"/>
          <w:marBottom w:val="0"/>
          <w:divBdr>
            <w:top w:val="none" w:sz="0" w:space="0" w:color="auto"/>
            <w:left w:val="none" w:sz="0" w:space="0" w:color="auto"/>
            <w:bottom w:val="none" w:sz="0" w:space="0" w:color="auto"/>
            <w:right w:val="none" w:sz="0" w:space="0" w:color="auto"/>
          </w:divBdr>
        </w:div>
      </w:divsChild>
    </w:div>
    <w:div w:id="1252088095">
      <w:bodyDiv w:val="1"/>
      <w:marLeft w:val="0"/>
      <w:marRight w:val="0"/>
      <w:marTop w:val="0"/>
      <w:marBottom w:val="0"/>
      <w:divBdr>
        <w:top w:val="none" w:sz="0" w:space="0" w:color="auto"/>
        <w:left w:val="none" w:sz="0" w:space="0" w:color="auto"/>
        <w:bottom w:val="none" w:sz="0" w:space="0" w:color="auto"/>
        <w:right w:val="none" w:sz="0" w:space="0" w:color="auto"/>
      </w:divBdr>
    </w:div>
    <w:div w:id="135692423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86832053">
      <w:bodyDiv w:val="1"/>
      <w:marLeft w:val="0"/>
      <w:marRight w:val="0"/>
      <w:marTop w:val="0"/>
      <w:marBottom w:val="0"/>
      <w:divBdr>
        <w:top w:val="none" w:sz="0" w:space="0" w:color="auto"/>
        <w:left w:val="none" w:sz="0" w:space="0" w:color="auto"/>
        <w:bottom w:val="none" w:sz="0" w:space="0" w:color="auto"/>
        <w:right w:val="none" w:sz="0" w:space="0" w:color="auto"/>
      </w:divBdr>
    </w:div>
    <w:div w:id="1943611634">
      <w:bodyDiv w:val="1"/>
      <w:marLeft w:val="0"/>
      <w:marRight w:val="0"/>
      <w:marTop w:val="0"/>
      <w:marBottom w:val="0"/>
      <w:divBdr>
        <w:top w:val="none" w:sz="0" w:space="0" w:color="auto"/>
        <w:left w:val="none" w:sz="0" w:space="0" w:color="auto"/>
        <w:bottom w:val="none" w:sz="0" w:space="0" w:color="auto"/>
        <w:right w:val="none" w:sz="0" w:space="0" w:color="auto"/>
      </w:divBdr>
      <w:divsChild>
        <w:div w:id="2006588297">
          <w:marLeft w:val="360"/>
          <w:marRight w:val="0"/>
          <w:marTop w:val="200"/>
          <w:marBottom w:val="0"/>
          <w:divBdr>
            <w:top w:val="none" w:sz="0" w:space="0" w:color="auto"/>
            <w:left w:val="none" w:sz="0" w:space="0" w:color="auto"/>
            <w:bottom w:val="none" w:sz="0" w:space="0" w:color="auto"/>
            <w:right w:val="none" w:sz="0" w:space="0" w:color="auto"/>
          </w:divBdr>
        </w:div>
        <w:div w:id="869074006">
          <w:marLeft w:val="1080"/>
          <w:marRight w:val="0"/>
          <w:marTop w:val="100"/>
          <w:marBottom w:val="0"/>
          <w:divBdr>
            <w:top w:val="none" w:sz="0" w:space="0" w:color="auto"/>
            <w:left w:val="none" w:sz="0" w:space="0" w:color="auto"/>
            <w:bottom w:val="none" w:sz="0" w:space="0" w:color="auto"/>
            <w:right w:val="none" w:sz="0" w:space="0" w:color="auto"/>
          </w:divBdr>
        </w:div>
        <w:div w:id="498036511">
          <w:marLeft w:val="1800"/>
          <w:marRight w:val="0"/>
          <w:marTop w:val="100"/>
          <w:marBottom w:val="0"/>
          <w:divBdr>
            <w:top w:val="none" w:sz="0" w:space="0" w:color="auto"/>
            <w:left w:val="none" w:sz="0" w:space="0" w:color="auto"/>
            <w:bottom w:val="none" w:sz="0" w:space="0" w:color="auto"/>
            <w:right w:val="none" w:sz="0" w:space="0" w:color="auto"/>
          </w:divBdr>
        </w:div>
        <w:div w:id="991637970">
          <w:marLeft w:val="1080"/>
          <w:marRight w:val="0"/>
          <w:marTop w:val="100"/>
          <w:marBottom w:val="0"/>
          <w:divBdr>
            <w:top w:val="none" w:sz="0" w:space="0" w:color="auto"/>
            <w:left w:val="none" w:sz="0" w:space="0" w:color="auto"/>
            <w:bottom w:val="none" w:sz="0" w:space="0" w:color="auto"/>
            <w:right w:val="none" w:sz="0" w:space="0" w:color="auto"/>
          </w:divBdr>
        </w:div>
        <w:div w:id="1435131275">
          <w:marLeft w:val="1800"/>
          <w:marRight w:val="0"/>
          <w:marTop w:val="100"/>
          <w:marBottom w:val="0"/>
          <w:divBdr>
            <w:top w:val="none" w:sz="0" w:space="0" w:color="auto"/>
            <w:left w:val="none" w:sz="0" w:space="0" w:color="auto"/>
            <w:bottom w:val="none" w:sz="0" w:space="0" w:color="auto"/>
            <w:right w:val="none" w:sz="0" w:space="0" w:color="auto"/>
          </w:divBdr>
        </w:div>
        <w:div w:id="1271743339">
          <w:marLeft w:val="1080"/>
          <w:marRight w:val="0"/>
          <w:marTop w:val="100"/>
          <w:marBottom w:val="0"/>
          <w:divBdr>
            <w:top w:val="none" w:sz="0" w:space="0" w:color="auto"/>
            <w:left w:val="none" w:sz="0" w:space="0" w:color="auto"/>
            <w:bottom w:val="none" w:sz="0" w:space="0" w:color="auto"/>
            <w:right w:val="none" w:sz="0" w:space="0" w:color="auto"/>
          </w:divBdr>
        </w:div>
        <w:div w:id="267275139">
          <w:marLeft w:val="1800"/>
          <w:marRight w:val="0"/>
          <w:marTop w:val="100"/>
          <w:marBottom w:val="0"/>
          <w:divBdr>
            <w:top w:val="none" w:sz="0" w:space="0" w:color="auto"/>
            <w:left w:val="none" w:sz="0" w:space="0" w:color="auto"/>
            <w:bottom w:val="none" w:sz="0" w:space="0" w:color="auto"/>
            <w:right w:val="none" w:sz="0" w:space="0" w:color="auto"/>
          </w:divBdr>
        </w:div>
      </w:divsChild>
    </w:div>
    <w:div w:id="198353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lehtine\Documents\RFSIM\RFSIM-TODO\R4-xxxxxxx%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FD95B-E6CD-4273-A112-8B1EED5B4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R4-xxxxxxx template.dotx</Template>
  <TotalTime>5760</TotalTime>
  <Pages>4</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dc:creator>
  <cp:keywords>ESA, style sheet, Winword</cp:keywords>
  <dc:description/>
  <cp:lastModifiedBy>Nokia</cp:lastModifiedBy>
  <cp:revision>685</cp:revision>
  <cp:lastPrinted>1899-12-31T22:00:00Z</cp:lastPrinted>
  <dcterms:created xsi:type="dcterms:W3CDTF">2021-01-12T15:05:00Z</dcterms:created>
  <dcterms:modified xsi:type="dcterms:W3CDTF">2021-08-06T22:58:00Z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2021-02-23T22:35:29Z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d809f080-1321-4497-ba97-8442f929ec8f</vt:lpwstr>
  </property>
  <property fmtid="{D5CDD505-2E9C-101B-9397-08002B2CF9AE}" pid="8" name="MSIP_Label_b1aa2129-79ec-42c0-bfac-e5b7a0374572_ContentBits">
    <vt:lpwstr>0</vt:lpwstr>
  </property>
</Properties>
</file>